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0E7EC" w14:textId="77777777" w:rsidR="000977A3" w:rsidRPr="00180269" w:rsidRDefault="000977A3" w:rsidP="00F70B22">
      <w:pPr>
        <w:shd w:val="clear" w:color="auto" w:fill="FFFFFF"/>
        <w:rPr>
          <w:rFonts w:ascii="Times New Roman" w:eastAsia="Times New Roman" w:hAnsi="Times New Roman" w:cs="Times New Roman"/>
          <w:color w:val="592C88"/>
          <w:szCs w:val="24"/>
        </w:rPr>
      </w:pPr>
      <w:bookmarkStart w:id="0" w:name="i"/>
    </w:p>
    <w:p w14:paraId="778E0ABE" w14:textId="77777777" w:rsidR="000977A3" w:rsidRDefault="000977A3" w:rsidP="00F70B22">
      <w:pPr>
        <w:shd w:val="clear" w:color="auto" w:fill="FFFFFF"/>
        <w:rPr>
          <w:rFonts w:ascii="Times New Roman" w:eastAsia="Times New Roman" w:hAnsi="Times New Roman" w:cs="Times New Roman"/>
          <w:color w:val="592C88"/>
          <w:sz w:val="54"/>
          <w:szCs w:val="54"/>
        </w:rPr>
      </w:pPr>
    </w:p>
    <w:p w14:paraId="1F3F1C34" w14:textId="77777777" w:rsidR="00890430" w:rsidRPr="00326942" w:rsidRDefault="0086315F" w:rsidP="00326942">
      <w:pPr>
        <w:shd w:val="clear" w:color="auto" w:fill="FFFFFF"/>
        <w:rPr>
          <w:rFonts w:ascii="Times New Roman" w:hAnsi="Times New Roman"/>
          <w:color w:val="592C88"/>
          <w:sz w:val="54"/>
        </w:rPr>
      </w:pPr>
      <w:r w:rsidRPr="00326942">
        <w:rPr>
          <w:rFonts w:ascii="Times New Roman" w:hAnsi="Times New Roman"/>
          <w:color w:val="592C88"/>
          <w:sz w:val="54"/>
        </w:rPr>
        <w:t xml:space="preserve">University Policy </w:t>
      </w:r>
      <w:r w:rsidR="003621C8" w:rsidRPr="00326942">
        <w:rPr>
          <w:rFonts w:ascii="Times New Roman" w:hAnsi="Times New Roman"/>
          <w:color w:val="592C88"/>
          <w:sz w:val="54"/>
        </w:rPr>
        <w:t>50</w:t>
      </w:r>
    </w:p>
    <w:p w14:paraId="5329B00F" w14:textId="5A9C2CD8" w:rsidR="00890430" w:rsidRPr="00326942" w:rsidRDefault="003621C8" w:rsidP="00326942">
      <w:pPr>
        <w:shd w:val="clear" w:color="auto" w:fill="FFFFFF"/>
        <w:rPr>
          <w:rFonts w:ascii="Arial" w:hAnsi="Arial"/>
          <w:color w:val="592C88"/>
        </w:rPr>
      </w:pPr>
      <w:r w:rsidRPr="00326942">
        <w:rPr>
          <w:rFonts w:ascii="Arial" w:hAnsi="Arial"/>
          <w:color w:val="592C88"/>
        </w:rPr>
        <w:t xml:space="preserve">Research Involving Recombinant </w:t>
      </w:r>
      <w:r w:rsidR="00671689">
        <w:rPr>
          <w:rFonts w:ascii="Arial" w:eastAsia="Times New Roman" w:hAnsi="Arial" w:cs="Arial"/>
          <w:color w:val="592C88"/>
          <w:szCs w:val="24"/>
        </w:rPr>
        <w:t xml:space="preserve">or Synthetic </w:t>
      </w:r>
      <w:r w:rsidRPr="00326942">
        <w:rPr>
          <w:rFonts w:ascii="Arial" w:hAnsi="Arial"/>
          <w:color w:val="592C88"/>
        </w:rPr>
        <w:t>DNA Molecules</w:t>
      </w:r>
      <w:r>
        <w:rPr>
          <w:rFonts w:ascii="Arial" w:eastAsia="Times New Roman" w:hAnsi="Arial" w:cs="Arial"/>
          <w:color w:val="592C88"/>
          <w:szCs w:val="24"/>
        </w:rPr>
        <w:t xml:space="preserve"> </w:t>
      </w:r>
    </w:p>
    <w:p w14:paraId="01541FFF" w14:textId="4E3F80AA" w:rsidR="0031280D" w:rsidRDefault="0031280D" w:rsidP="00F70B22">
      <w:pPr>
        <w:shd w:val="clear" w:color="auto" w:fill="FFFFFF"/>
        <w:rPr>
          <w:rFonts w:ascii="Arial" w:eastAsia="Times New Roman" w:hAnsi="Arial" w:cs="Arial"/>
          <w:color w:val="000000"/>
          <w:sz w:val="18"/>
          <w:szCs w:val="18"/>
        </w:rPr>
      </w:pPr>
    </w:p>
    <w:p w14:paraId="135C265F" w14:textId="77777777" w:rsidR="0031280D" w:rsidRDefault="0031280D" w:rsidP="00F70B22">
      <w:pPr>
        <w:shd w:val="clear" w:color="auto" w:fill="FFFFFF"/>
        <w:rPr>
          <w:rFonts w:ascii="Arial" w:eastAsia="Times New Roman" w:hAnsi="Arial" w:cs="Arial"/>
          <w:color w:val="000000"/>
          <w:sz w:val="18"/>
          <w:szCs w:val="18"/>
        </w:rPr>
      </w:pPr>
    </w:p>
    <w:p w14:paraId="5138CED9" w14:textId="1BFC407C" w:rsidR="0031280D" w:rsidRPr="00B7012E" w:rsidRDefault="00890430" w:rsidP="00F70B22">
      <w:pPr>
        <w:shd w:val="clear" w:color="auto" w:fill="FFFFFF"/>
        <w:rPr>
          <w:rFonts w:ascii="Arial" w:hAnsi="Arial"/>
          <w:color w:val="000000"/>
          <w:sz w:val="18"/>
        </w:rPr>
      </w:pPr>
      <w:r w:rsidRPr="00326942">
        <w:rPr>
          <w:rFonts w:ascii="Arial" w:hAnsi="Arial"/>
          <w:color w:val="000000"/>
          <w:sz w:val="18"/>
        </w:rPr>
        <w:br/>
        <w:t>Initially approved</w:t>
      </w:r>
      <w:r w:rsidRPr="00F539C5">
        <w:rPr>
          <w:rFonts w:ascii="Arial" w:eastAsia="Times New Roman" w:hAnsi="Arial" w:cs="Arial"/>
          <w:color w:val="000000"/>
          <w:sz w:val="18"/>
          <w:szCs w:val="18"/>
        </w:rPr>
        <w:t>:</w:t>
      </w:r>
      <w:r w:rsidR="00786B4D" w:rsidRPr="00F539C5">
        <w:rPr>
          <w:rFonts w:ascii="Arial" w:eastAsia="Times New Roman" w:hAnsi="Arial" w:cs="Arial"/>
          <w:color w:val="000000"/>
          <w:sz w:val="18"/>
          <w:szCs w:val="18"/>
        </w:rPr>
        <w:t xml:space="preserve"> </w:t>
      </w:r>
      <w:r w:rsidR="00F539C5" w:rsidRPr="00F539C5">
        <w:rPr>
          <w:rFonts w:ascii="Arial" w:eastAsia="Times New Roman" w:hAnsi="Arial" w:cs="Arial"/>
          <w:color w:val="000000"/>
          <w:sz w:val="18"/>
          <w:szCs w:val="18"/>
        </w:rPr>
        <w:t xml:space="preserve">  </w:t>
      </w:r>
      <w:r w:rsidR="00F539C5" w:rsidRPr="00326942">
        <w:rPr>
          <w:rFonts w:ascii="Arial" w:hAnsi="Arial"/>
          <w:color w:val="000000"/>
          <w:sz w:val="18"/>
        </w:rPr>
        <w:t xml:space="preserve"> </w:t>
      </w:r>
      <w:r w:rsidR="003621C8" w:rsidRPr="00B7012E">
        <w:rPr>
          <w:rFonts w:ascii="Arial" w:hAnsi="Arial"/>
          <w:color w:val="000000"/>
          <w:sz w:val="18"/>
        </w:rPr>
        <w:t>August 15, 1994</w:t>
      </w:r>
    </w:p>
    <w:p w14:paraId="37429D0E" w14:textId="4921872A" w:rsidR="00B7012E" w:rsidRPr="00B7012E" w:rsidRDefault="00B7012E" w:rsidP="00F70B22">
      <w:pPr>
        <w:shd w:val="clear" w:color="auto" w:fill="FFFFFF"/>
        <w:rPr>
          <w:rFonts w:ascii="Arial" w:eastAsia="Times New Roman" w:hAnsi="Arial" w:cs="Arial"/>
          <w:color w:val="000000"/>
          <w:sz w:val="18"/>
          <w:szCs w:val="18"/>
        </w:rPr>
      </w:pPr>
      <w:r w:rsidRPr="00B7012E">
        <w:rPr>
          <w:rFonts w:ascii="Arial" w:hAnsi="Arial"/>
          <w:color w:val="000000"/>
          <w:sz w:val="18"/>
        </w:rPr>
        <w:t>Revised:</w:t>
      </w:r>
      <w:r w:rsidRPr="00B7012E">
        <w:rPr>
          <w:rFonts w:ascii="Arial" w:hAnsi="Arial"/>
          <w:color w:val="000000"/>
          <w:sz w:val="18"/>
        </w:rPr>
        <w:tab/>
        <w:t xml:space="preserve">   March 9, 2020</w:t>
      </w:r>
    </w:p>
    <w:p w14:paraId="0B6432FD" w14:textId="77777777" w:rsidR="0031280D" w:rsidRPr="00B7012E" w:rsidRDefault="0031280D" w:rsidP="00F70B22">
      <w:pPr>
        <w:shd w:val="clear" w:color="auto" w:fill="FFFFFF"/>
        <w:rPr>
          <w:rFonts w:ascii="Arial" w:eastAsia="Times New Roman" w:hAnsi="Arial" w:cs="Arial"/>
          <w:color w:val="000000"/>
          <w:sz w:val="18"/>
          <w:szCs w:val="18"/>
        </w:rPr>
      </w:pPr>
    </w:p>
    <w:p w14:paraId="1E04CF1B" w14:textId="77777777" w:rsidR="00F539C5" w:rsidRPr="00B7012E" w:rsidRDefault="0031280D" w:rsidP="00F70B22">
      <w:pPr>
        <w:shd w:val="clear" w:color="auto" w:fill="FFFFFF"/>
        <w:rPr>
          <w:rFonts w:ascii="Arial" w:eastAsia="Times New Roman" w:hAnsi="Arial" w:cs="Arial"/>
          <w:color w:val="000000"/>
          <w:sz w:val="18"/>
          <w:szCs w:val="18"/>
        </w:rPr>
      </w:pPr>
      <w:r w:rsidRPr="00B7012E">
        <w:rPr>
          <w:rFonts w:ascii="Arial" w:eastAsia="Times New Roman" w:hAnsi="Arial" w:cs="Arial"/>
          <w:color w:val="000000"/>
          <w:sz w:val="18"/>
          <w:szCs w:val="18"/>
        </w:rPr>
        <w:t xml:space="preserve">Policy Topic:  </w:t>
      </w:r>
      <w:r w:rsidR="003621C8" w:rsidRPr="00B7012E">
        <w:rPr>
          <w:rFonts w:ascii="Arial" w:eastAsia="Times New Roman" w:hAnsi="Arial" w:cs="Arial"/>
          <w:color w:val="000000"/>
          <w:sz w:val="18"/>
          <w:szCs w:val="18"/>
        </w:rPr>
        <w:t xml:space="preserve">Research and Sponsored Activities </w:t>
      </w:r>
    </w:p>
    <w:p w14:paraId="398A0551" w14:textId="7537D026" w:rsidR="00165815" w:rsidRPr="00326942" w:rsidRDefault="00890430" w:rsidP="00326942">
      <w:pPr>
        <w:shd w:val="clear" w:color="auto" w:fill="FFFFFF"/>
        <w:rPr>
          <w:rFonts w:ascii="Arial" w:hAnsi="Arial"/>
          <w:color w:val="000000"/>
          <w:sz w:val="18"/>
        </w:rPr>
      </w:pPr>
      <w:r w:rsidRPr="00326942">
        <w:rPr>
          <w:rFonts w:ascii="Arial" w:hAnsi="Arial"/>
          <w:color w:val="000000"/>
          <w:sz w:val="18"/>
          <w:highlight w:val="lightGray"/>
        </w:rPr>
        <w:br/>
      </w:r>
      <w:r w:rsidRPr="00326942">
        <w:rPr>
          <w:rFonts w:ascii="Arial" w:hAnsi="Arial"/>
          <w:color w:val="000000"/>
          <w:sz w:val="18"/>
        </w:rPr>
        <w:t xml:space="preserve">Administering Office: </w:t>
      </w:r>
      <w:r w:rsidR="00F539C5">
        <w:rPr>
          <w:rFonts w:ascii="Arial" w:eastAsia="Times New Roman" w:hAnsi="Arial" w:cs="Arial"/>
          <w:color w:val="000000"/>
          <w:sz w:val="18"/>
          <w:szCs w:val="18"/>
        </w:rPr>
        <w:t xml:space="preserve"> </w:t>
      </w:r>
      <w:r w:rsidR="003621C8">
        <w:rPr>
          <w:rFonts w:ascii="Arial" w:eastAsia="Times New Roman" w:hAnsi="Arial" w:cs="Arial"/>
          <w:color w:val="000000"/>
          <w:sz w:val="18"/>
          <w:szCs w:val="18"/>
        </w:rPr>
        <w:t xml:space="preserve">Office of </w:t>
      </w:r>
      <w:r w:rsidR="003621C8" w:rsidRPr="00326942">
        <w:rPr>
          <w:rFonts w:ascii="Arial" w:hAnsi="Arial"/>
          <w:color w:val="000000"/>
          <w:sz w:val="18"/>
        </w:rPr>
        <w:t xml:space="preserve">Research </w:t>
      </w:r>
      <w:r w:rsidR="003621C8">
        <w:rPr>
          <w:rFonts w:ascii="Arial" w:eastAsia="Times New Roman" w:hAnsi="Arial" w:cs="Arial"/>
          <w:color w:val="000000"/>
          <w:sz w:val="18"/>
          <w:szCs w:val="18"/>
        </w:rPr>
        <w:t>Administration</w:t>
      </w:r>
    </w:p>
    <w:p w14:paraId="7EFACB57" w14:textId="77777777" w:rsidR="00257002" w:rsidRPr="00326942" w:rsidRDefault="00164FA3" w:rsidP="00F70B22">
      <w:pPr>
        <w:shd w:val="clear" w:color="auto" w:fill="FFFFFF"/>
        <w:spacing w:before="100" w:beforeAutospacing="1" w:after="100" w:afterAutospacing="1"/>
        <w:rPr>
          <w:rFonts w:ascii="Arial" w:eastAsia="Times New Roman" w:hAnsi="Arial" w:cs="Arial"/>
          <w:b/>
          <w:bCs/>
          <w:color w:val="000000"/>
          <w:sz w:val="22"/>
        </w:rPr>
      </w:pPr>
      <w:r w:rsidRPr="00326942">
        <w:rPr>
          <w:rFonts w:ascii="Arial" w:eastAsia="Times New Roman" w:hAnsi="Arial" w:cs="Arial"/>
          <w:b/>
          <w:bCs/>
          <w:color w:val="000000"/>
          <w:sz w:val="22"/>
        </w:rPr>
        <w:t>I. POLICY STATEMENT</w:t>
      </w:r>
    </w:p>
    <w:bookmarkEnd w:id="0"/>
    <w:p w14:paraId="7657BD6A" w14:textId="538A28F6" w:rsidR="0031280D" w:rsidRPr="00326942" w:rsidRDefault="003621C8" w:rsidP="00326942">
      <w:pPr>
        <w:rPr>
          <w:rFonts w:ascii="Arial" w:hAnsi="Arial"/>
          <w:sz w:val="22"/>
        </w:rPr>
      </w:pPr>
      <w:r w:rsidRPr="00326942">
        <w:rPr>
          <w:rFonts w:ascii="Arial" w:hAnsi="Arial"/>
          <w:sz w:val="22"/>
        </w:rPr>
        <w:t xml:space="preserve">WCU faculty, staff, or students involved in Recombinant </w:t>
      </w:r>
      <w:r w:rsidR="00671689" w:rsidRPr="00326942">
        <w:rPr>
          <w:rFonts w:ascii="Arial" w:eastAsia="Times New Roman" w:hAnsi="Arial" w:cs="Arial"/>
          <w:sz w:val="22"/>
        </w:rPr>
        <w:t xml:space="preserve">or Synthetic </w:t>
      </w:r>
      <w:r w:rsidR="00671689" w:rsidRPr="00326942">
        <w:rPr>
          <w:rFonts w:ascii="Arial" w:hAnsi="Arial"/>
          <w:sz w:val="22"/>
        </w:rPr>
        <w:t>DNA (r</w:t>
      </w:r>
      <w:r w:rsidR="00671689" w:rsidRPr="00326942">
        <w:rPr>
          <w:rFonts w:ascii="Arial" w:eastAsia="Times New Roman" w:hAnsi="Arial" w:cs="Arial"/>
          <w:sz w:val="22"/>
        </w:rPr>
        <w:t xml:space="preserve">/s </w:t>
      </w:r>
      <w:r w:rsidRPr="00326942">
        <w:rPr>
          <w:rFonts w:ascii="Arial" w:hAnsi="Arial"/>
          <w:sz w:val="22"/>
        </w:rPr>
        <w:t xml:space="preserve">DNA) molecules research are required to follow established guidelines issued by the National </w:t>
      </w:r>
      <w:r w:rsidRPr="00326942">
        <w:rPr>
          <w:rFonts w:ascii="Arial" w:eastAsia="Times New Roman" w:hAnsi="Arial" w:cs="Arial"/>
          <w:sz w:val="22"/>
        </w:rPr>
        <w:t>Institute</w:t>
      </w:r>
      <w:r w:rsidRPr="00326942">
        <w:rPr>
          <w:rFonts w:ascii="Arial" w:hAnsi="Arial"/>
          <w:sz w:val="22"/>
        </w:rPr>
        <w:t xml:space="preserve"> of Health (NIH). The Guidelines for Research Involving Recombinant</w:t>
      </w:r>
      <w:r w:rsidR="00F319F1">
        <w:rPr>
          <w:rFonts w:ascii="Arial" w:hAnsi="Arial"/>
          <w:sz w:val="22"/>
        </w:rPr>
        <w:t xml:space="preserve"> or Synthetic</w:t>
      </w:r>
      <w:r w:rsidRPr="00326942">
        <w:rPr>
          <w:rFonts w:ascii="Arial" w:hAnsi="Arial"/>
          <w:sz w:val="22"/>
        </w:rPr>
        <w:t xml:space="preserve"> DNA </w:t>
      </w:r>
      <w:r w:rsidR="00C72F2E" w:rsidRPr="00326942">
        <w:rPr>
          <w:rFonts w:ascii="Arial" w:hAnsi="Arial"/>
          <w:sz w:val="22"/>
        </w:rPr>
        <w:t>Molecules</w:t>
      </w:r>
      <w:r w:rsidRPr="00326942">
        <w:rPr>
          <w:rFonts w:ascii="Arial" w:hAnsi="Arial"/>
          <w:sz w:val="22"/>
        </w:rPr>
        <w:t xml:space="preserve"> </w:t>
      </w:r>
      <w:r w:rsidRPr="00326942">
        <w:rPr>
          <w:rFonts w:ascii="Arial" w:eastAsia="Times New Roman" w:hAnsi="Arial" w:cs="Arial"/>
          <w:sz w:val="22"/>
        </w:rPr>
        <w:t>(NIH Guidelines) are</w:t>
      </w:r>
      <w:r w:rsidRPr="00326942">
        <w:rPr>
          <w:rFonts w:ascii="Arial" w:hAnsi="Arial"/>
          <w:sz w:val="22"/>
        </w:rPr>
        <w:t xml:space="preserve"> published in the Federal Register </w:t>
      </w:r>
      <w:r w:rsidRPr="00326942">
        <w:rPr>
          <w:rFonts w:ascii="Arial" w:eastAsia="Times New Roman" w:hAnsi="Arial" w:cs="Arial"/>
          <w:sz w:val="22"/>
        </w:rPr>
        <w:t>and are available at</w:t>
      </w:r>
      <w:r w:rsidRPr="00326942">
        <w:rPr>
          <w:rFonts w:ascii="Arial" w:hAnsi="Arial"/>
          <w:sz w:val="22"/>
        </w:rPr>
        <w:t xml:space="preserve"> the </w:t>
      </w:r>
      <w:r w:rsidRPr="00326942">
        <w:rPr>
          <w:rFonts w:ascii="Arial" w:eastAsia="Times New Roman" w:hAnsi="Arial" w:cs="Arial"/>
          <w:sz w:val="22"/>
        </w:rPr>
        <w:t>NIH</w:t>
      </w:r>
      <w:r w:rsidRPr="00326942">
        <w:rPr>
          <w:rFonts w:ascii="Arial" w:hAnsi="Arial"/>
          <w:sz w:val="22"/>
        </w:rPr>
        <w:t xml:space="preserve"> Office </w:t>
      </w:r>
      <w:r w:rsidRPr="00326942">
        <w:rPr>
          <w:rFonts w:ascii="Arial" w:eastAsia="Times New Roman" w:hAnsi="Arial" w:cs="Arial"/>
          <w:sz w:val="22"/>
        </w:rPr>
        <w:t>for Science Policy website (</w:t>
      </w:r>
      <w:hyperlink r:id="rId8" w:history="1">
        <w:r w:rsidRPr="00326942">
          <w:rPr>
            <w:rStyle w:val="Hyperlink"/>
            <w:rFonts w:ascii="Arial" w:eastAsia="Times New Roman" w:hAnsi="Arial" w:cs="Arial"/>
            <w:sz w:val="22"/>
          </w:rPr>
          <w:t>osp.od.nih.gov</w:t>
        </w:r>
      </w:hyperlink>
      <w:r w:rsidRPr="00326942">
        <w:rPr>
          <w:rFonts w:ascii="Arial" w:eastAsia="Times New Roman" w:hAnsi="Arial" w:cs="Arial"/>
          <w:sz w:val="22"/>
        </w:rPr>
        <w:t xml:space="preserve">). </w:t>
      </w:r>
    </w:p>
    <w:p w14:paraId="021394A7" w14:textId="76524EA3" w:rsidR="009B51CA" w:rsidRPr="00326942" w:rsidRDefault="009B51CA" w:rsidP="00F70B22">
      <w:pPr>
        <w:rPr>
          <w:rFonts w:ascii="Arial" w:eastAsia="Times New Roman" w:hAnsi="Arial" w:cs="Arial"/>
          <w:sz w:val="22"/>
        </w:rPr>
      </w:pPr>
    </w:p>
    <w:p w14:paraId="443A6F3C" w14:textId="77777777" w:rsidR="0019648B" w:rsidRPr="00326942" w:rsidRDefault="00BD7773" w:rsidP="00F70B22">
      <w:pPr>
        <w:spacing w:before="100" w:beforeAutospacing="1" w:after="100" w:afterAutospacing="1"/>
        <w:rPr>
          <w:rFonts w:ascii="Arial" w:eastAsia="Times New Roman" w:hAnsi="Arial" w:cs="Arial"/>
          <w:sz w:val="22"/>
        </w:rPr>
      </w:pPr>
      <w:bookmarkStart w:id="1" w:name="ii"/>
      <w:r w:rsidRPr="00326942">
        <w:rPr>
          <w:rFonts w:ascii="Arial" w:eastAsia="Times New Roman" w:hAnsi="Arial" w:cs="Arial"/>
          <w:b/>
          <w:bCs/>
          <w:sz w:val="22"/>
        </w:rPr>
        <w:t>II</w:t>
      </w:r>
      <w:bookmarkEnd w:id="1"/>
      <w:r w:rsidR="009E1A3D" w:rsidRPr="00326942">
        <w:rPr>
          <w:rFonts w:ascii="Arial" w:eastAsia="Times New Roman" w:hAnsi="Arial" w:cs="Arial"/>
          <w:b/>
          <w:bCs/>
          <w:sz w:val="22"/>
        </w:rPr>
        <w:t>. DEFINITIONS</w:t>
      </w:r>
      <w:r w:rsidRPr="00326942">
        <w:rPr>
          <w:rFonts w:ascii="Arial" w:eastAsia="Times New Roman" w:hAnsi="Arial" w:cs="Arial"/>
          <w:b/>
          <w:bCs/>
          <w:sz w:val="22"/>
        </w:rPr>
        <w:t xml:space="preserve"> </w:t>
      </w:r>
    </w:p>
    <w:p w14:paraId="56E5E481" w14:textId="77777777" w:rsidR="00A327CF" w:rsidRPr="00326942" w:rsidRDefault="00A327CF" w:rsidP="00A327CF">
      <w:pPr>
        <w:spacing w:before="100" w:beforeAutospacing="1" w:after="100" w:afterAutospacing="1"/>
        <w:contextualSpacing/>
        <w:rPr>
          <w:rFonts w:ascii="Arial" w:eastAsia="Times New Roman" w:hAnsi="Arial" w:cs="Arial"/>
          <w:sz w:val="22"/>
        </w:rPr>
      </w:pPr>
      <w:r w:rsidRPr="00326942">
        <w:rPr>
          <w:rFonts w:ascii="Arial" w:eastAsia="Times New Roman" w:hAnsi="Arial" w:cs="Arial"/>
          <w:b/>
          <w:bCs/>
          <w:sz w:val="22"/>
        </w:rPr>
        <w:t>Biosafety Levels (BLs)</w:t>
      </w:r>
      <w:r w:rsidRPr="00326942">
        <w:rPr>
          <w:rFonts w:ascii="Arial" w:eastAsia="Times New Roman" w:hAnsi="Arial" w:cs="Arial"/>
          <w:sz w:val="22"/>
        </w:rPr>
        <w:t xml:space="preserve">: BLs are categories for biocontainment precautions, based on levels of hazard, not to be confused with Risk Groups. </w:t>
      </w:r>
    </w:p>
    <w:p w14:paraId="4C7C1E93" w14:textId="77777777" w:rsidR="00A327CF" w:rsidRPr="00326942" w:rsidRDefault="00A327CF" w:rsidP="00A327CF">
      <w:pPr>
        <w:pStyle w:val="ListParagraph"/>
        <w:numPr>
          <w:ilvl w:val="0"/>
          <w:numId w:val="8"/>
        </w:numPr>
        <w:spacing w:before="100" w:beforeAutospacing="1" w:after="100" w:afterAutospacing="1"/>
        <w:rPr>
          <w:rFonts w:ascii="Arial" w:eastAsia="Times New Roman" w:hAnsi="Arial" w:cs="Arial"/>
          <w:sz w:val="22"/>
        </w:rPr>
      </w:pPr>
      <w:r w:rsidRPr="00326942">
        <w:rPr>
          <w:rFonts w:ascii="Arial" w:eastAsia="Times New Roman" w:hAnsi="Arial" w:cs="Arial"/>
          <w:sz w:val="22"/>
        </w:rPr>
        <w:t xml:space="preserve">BL1 work involving minimal or no known hazard to laboratory personnel and the environment. </w:t>
      </w:r>
    </w:p>
    <w:p w14:paraId="50ADD4F4" w14:textId="77777777" w:rsidR="00A327CF" w:rsidRPr="00326942" w:rsidRDefault="00A327CF" w:rsidP="00A327CF">
      <w:pPr>
        <w:pStyle w:val="ListParagraph"/>
        <w:numPr>
          <w:ilvl w:val="0"/>
          <w:numId w:val="8"/>
        </w:numPr>
        <w:spacing w:before="100" w:beforeAutospacing="1" w:after="100" w:afterAutospacing="1"/>
        <w:rPr>
          <w:rFonts w:ascii="Arial" w:eastAsia="Times New Roman" w:hAnsi="Arial" w:cs="Arial"/>
          <w:sz w:val="22"/>
        </w:rPr>
      </w:pPr>
      <w:r w:rsidRPr="00326942">
        <w:rPr>
          <w:rFonts w:ascii="Arial" w:eastAsia="Times New Roman" w:hAnsi="Arial" w:cs="Arial"/>
          <w:sz w:val="22"/>
        </w:rPr>
        <w:t xml:space="preserve">BL2 work involving agents of moderate potential hazard to personnel and the environment, requiring a type II biosafety cabinet for containment. </w:t>
      </w:r>
    </w:p>
    <w:p w14:paraId="37CF6F88" w14:textId="42979A36" w:rsidR="00A327CF" w:rsidRPr="00326942" w:rsidRDefault="00A327CF" w:rsidP="00A327CF">
      <w:pPr>
        <w:pStyle w:val="ListParagraph"/>
        <w:numPr>
          <w:ilvl w:val="0"/>
          <w:numId w:val="8"/>
        </w:numPr>
        <w:spacing w:before="100" w:beforeAutospacing="1" w:after="100" w:afterAutospacing="1"/>
        <w:rPr>
          <w:rFonts w:ascii="Arial" w:eastAsia="Times New Roman" w:hAnsi="Arial" w:cs="Arial"/>
          <w:sz w:val="22"/>
        </w:rPr>
      </w:pPr>
      <w:r w:rsidRPr="00326942">
        <w:rPr>
          <w:rFonts w:ascii="Arial" w:eastAsia="Times New Roman" w:hAnsi="Arial" w:cs="Arial"/>
          <w:sz w:val="22"/>
        </w:rPr>
        <w:t>BL3 work involving indigenous or exotic agents which may cause serious or potentially lethal disease as a result of exposure by inhalation.</w:t>
      </w:r>
    </w:p>
    <w:p w14:paraId="2BF6748C" w14:textId="78C12FD2" w:rsidR="00A327CF" w:rsidRPr="00326942" w:rsidRDefault="00A327CF" w:rsidP="00A327CF">
      <w:pPr>
        <w:pStyle w:val="ListParagraph"/>
        <w:numPr>
          <w:ilvl w:val="0"/>
          <w:numId w:val="8"/>
        </w:numPr>
        <w:spacing w:before="100" w:beforeAutospacing="1" w:after="100" w:afterAutospacing="1"/>
        <w:rPr>
          <w:rFonts w:ascii="Arial" w:eastAsia="Times New Roman" w:hAnsi="Arial" w:cs="Arial"/>
          <w:sz w:val="22"/>
        </w:rPr>
      </w:pPr>
      <w:r w:rsidRPr="00326942">
        <w:rPr>
          <w:rFonts w:ascii="Arial" w:eastAsia="Times New Roman" w:hAnsi="Arial" w:cs="Arial"/>
          <w:sz w:val="22"/>
        </w:rPr>
        <w:t xml:space="preserve">BL4 </w:t>
      </w:r>
      <w:r w:rsidR="00F319F1">
        <w:rPr>
          <w:rFonts w:ascii="Arial" w:eastAsia="Times New Roman" w:hAnsi="Arial" w:cs="Arial"/>
          <w:sz w:val="22"/>
        </w:rPr>
        <w:t>work involving</w:t>
      </w:r>
      <w:r w:rsidRPr="00326942">
        <w:rPr>
          <w:rFonts w:ascii="Arial" w:eastAsia="Times New Roman" w:hAnsi="Arial" w:cs="Arial"/>
          <w:sz w:val="22"/>
        </w:rPr>
        <w:t xml:space="preserve"> viruses that cause severe to fatal disease in humans, that are easily transmissible by aerosols or contact entry, and for which vaccines or other treatments are not available </w:t>
      </w:r>
    </w:p>
    <w:p w14:paraId="10CA1CDB" w14:textId="77777777" w:rsidR="00C72F2E" w:rsidRPr="00326942" w:rsidRDefault="00C72F2E" w:rsidP="00F70B22">
      <w:pPr>
        <w:rPr>
          <w:rFonts w:ascii="Arial" w:eastAsia="Times New Roman" w:hAnsi="Arial" w:cs="Arial"/>
          <w:sz w:val="22"/>
        </w:rPr>
      </w:pPr>
      <w:r w:rsidRPr="00326942">
        <w:rPr>
          <w:rFonts w:ascii="Arial" w:eastAsia="Times New Roman" w:hAnsi="Arial" w:cs="Arial"/>
          <w:b/>
          <w:bCs/>
          <w:sz w:val="22"/>
        </w:rPr>
        <w:t>Recombinant and Synthetic Nucleic Acid Molecules</w:t>
      </w:r>
      <w:r w:rsidRPr="00326942">
        <w:rPr>
          <w:rFonts w:ascii="Arial" w:eastAsia="Times New Roman" w:hAnsi="Arial" w:cs="Arial"/>
          <w:sz w:val="22"/>
        </w:rPr>
        <w:t xml:space="preserve">: </w:t>
      </w:r>
    </w:p>
    <w:p w14:paraId="34C1AFB0" w14:textId="7B3B3BCB" w:rsidR="003621C8" w:rsidRPr="00326942" w:rsidRDefault="003621C8" w:rsidP="00F70B22">
      <w:pPr>
        <w:pStyle w:val="ListParagraph"/>
        <w:numPr>
          <w:ilvl w:val="0"/>
          <w:numId w:val="5"/>
        </w:numPr>
        <w:rPr>
          <w:rFonts w:ascii="Arial" w:eastAsia="Times New Roman" w:hAnsi="Arial" w:cs="Arial"/>
          <w:sz w:val="22"/>
        </w:rPr>
      </w:pPr>
      <w:r w:rsidRPr="00326942">
        <w:rPr>
          <w:rFonts w:ascii="Arial" w:eastAsia="Times New Roman" w:hAnsi="Arial" w:cs="Arial"/>
          <w:sz w:val="22"/>
        </w:rPr>
        <w:t xml:space="preserve">Molecules that a) are constructed by </w:t>
      </w:r>
      <w:r w:rsidR="00C72F2E" w:rsidRPr="00326942">
        <w:rPr>
          <w:rFonts w:ascii="Arial" w:eastAsia="Times New Roman" w:hAnsi="Arial" w:cs="Arial"/>
          <w:sz w:val="22"/>
        </w:rPr>
        <w:t>joining nucleic molecules and b)</w:t>
      </w:r>
      <w:r w:rsidRPr="00326942">
        <w:rPr>
          <w:rFonts w:ascii="Arial" w:eastAsia="Times New Roman" w:hAnsi="Arial" w:cs="Arial"/>
          <w:sz w:val="22"/>
        </w:rPr>
        <w:t xml:space="preserve"> that can replicate in a living cell</w:t>
      </w:r>
      <w:r w:rsidR="00C72F2E" w:rsidRPr="00326942">
        <w:rPr>
          <w:rFonts w:ascii="Arial" w:eastAsia="Times New Roman" w:hAnsi="Arial" w:cs="Arial"/>
          <w:sz w:val="22"/>
        </w:rPr>
        <w:t>, i.e.,</w:t>
      </w:r>
      <w:r w:rsidR="00C72F2E" w:rsidRPr="00326942">
        <w:rPr>
          <w:rFonts w:ascii="Arial" w:hAnsi="Arial"/>
          <w:sz w:val="22"/>
        </w:rPr>
        <w:t xml:space="preserve"> recombinant </w:t>
      </w:r>
      <w:r w:rsidR="00C72F2E" w:rsidRPr="00326942">
        <w:rPr>
          <w:rFonts w:ascii="Arial" w:eastAsia="Times New Roman" w:hAnsi="Arial" w:cs="Arial"/>
          <w:sz w:val="22"/>
        </w:rPr>
        <w:t>nucleic acids;</w:t>
      </w:r>
    </w:p>
    <w:p w14:paraId="057DBA46" w14:textId="3C4A06FB" w:rsidR="003621C8" w:rsidRPr="00326942" w:rsidRDefault="00C72F2E" w:rsidP="00F70B22">
      <w:pPr>
        <w:pStyle w:val="ListParagraph"/>
        <w:numPr>
          <w:ilvl w:val="0"/>
          <w:numId w:val="5"/>
        </w:numPr>
        <w:rPr>
          <w:rFonts w:ascii="Arial" w:eastAsia="Times New Roman" w:hAnsi="Arial" w:cs="Arial"/>
          <w:sz w:val="22"/>
        </w:rPr>
      </w:pPr>
      <w:r w:rsidRPr="00326942">
        <w:rPr>
          <w:rFonts w:ascii="Arial" w:eastAsia="Times New Roman" w:hAnsi="Arial" w:cs="Arial"/>
          <w:sz w:val="22"/>
        </w:rPr>
        <w:t>N</w:t>
      </w:r>
      <w:r w:rsidR="003621C8" w:rsidRPr="00326942">
        <w:rPr>
          <w:rFonts w:ascii="Arial" w:eastAsia="Times New Roman" w:hAnsi="Arial" w:cs="Arial"/>
          <w:sz w:val="22"/>
        </w:rPr>
        <w:t>ucleic acid</w:t>
      </w:r>
      <w:r w:rsidR="003621C8" w:rsidRPr="00326942">
        <w:rPr>
          <w:rFonts w:ascii="Arial" w:hAnsi="Arial"/>
          <w:sz w:val="22"/>
        </w:rPr>
        <w:t xml:space="preserve"> molecules </w:t>
      </w:r>
      <w:r w:rsidR="003621C8" w:rsidRPr="00326942">
        <w:rPr>
          <w:rFonts w:ascii="Arial" w:eastAsia="Times New Roman" w:hAnsi="Arial" w:cs="Arial"/>
          <w:sz w:val="22"/>
        </w:rPr>
        <w:t xml:space="preserve">that are chemically or by other means synthesized or amplified, including those that are chemically or otherwise modified but can base pair with naturally occurring nucleic acid </w:t>
      </w:r>
      <w:r w:rsidRPr="00326942">
        <w:rPr>
          <w:rFonts w:ascii="Arial" w:eastAsia="Times New Roman" w:hAnsi="Arial" w:cs="Arial"/>
          <w:sz w:val="22"/>
        </w:rPr>
        <w:t xml:space="preserve">molecules, i.e., </w:t>
      </w:r>
      <w:r w:rsidRPr="00326942">
        <w:rPr>
          <w:rFonts w:ascii="Arial" w:hAnsi="Arial"/>
          <w:sz w:val="22"/>
        </w:rPr>
        <w:t xml:space="preserve">synthetic </w:t>
      </w:r>
      <w:r w:rsidRPr="00326942">
        <w:rPr>
          <w:rFonts w:ascii="Arial" w:eastAsia="Times New Roman" w:hAnsi="Arial" w:cs="Arial"/>
          <w:sz w:val="22"/>
        </w:rPr>
        <w:t>nucleic acids, or</w:t>
      </w:r>
    </w:p>
    <w:p w14:paraId="435FBFE9" w14:textId="7EFA9D87" w:rsidR="00F539C5" w:rsidRPr="00326942" w:rsidRDefault="00C72F2E" w:rsidP="00326942">
      <w:pPr>
        <w:pStyle w:val="ListParagraph"/>
        <w:numPr>
          <w:ilvl w:val="0"/>
          <w:numId w:val="5"/>
        </w:numPr>
        <w:rPr>
          <w:rFonts w:ascii="Arial" w:hAnsi="Arial"/>
          <w:sz w:val="22"/>
        </w:rPr>
      </w:pPr>
      <w:r w:rsidRPr="00326942">
        <w:rPr>
          <w:rFonts w:ascii="Arial" w:eastAsia="Times New Roman" w:hAnsi="Arial" w:cs="Arial"/>
          <w:sz w:val="22"/>
        </w:rPr>
        <w:t>Molecules</w:t>
      </w:r>
      <w:r w:rsidRPr="00326942">
        <w:rPr>
          <w:rFonts w:ascii="Arial" w:hAnsi="Arial"/>
          <w:sz w:val="22"/>
        </w:rPr>
        <w:t xml:space="preserve"> that result from the replication of those described in (</w:t>
      </w:r>
      <w:r w:rsidRPr="00326942">
        <w:rPr>
          <w:rFonts w:ascii="Arial" w:eastAsia="Times New Roman" w:hAnsi="Arial" w:cs="Arial"/>
          <w:sz w:val="22"/>
        </w:rPr>
        <w:t>i) or (ii) above.</w:t>
      </w:r>
    </w:p>
    <w:p w14:paraId="49926ABF" w14:textId="3E6E2FAB" w:rsidR="00A327CF" w:rsidRPr="00326942" w:rsidRDefault="00A327CF" w:rsidP="00A327CF">
      <w:pPr>
        <w:rPr>
          <w:rFonts w:ascii="Arial" w:eastAsia="Times New Roman" w:hAnsi="Arial" w:cs="Arial"/>
          <w:sz w:val="22"/>
        </w:rPr>
      </w:pPr>
    </w:p>
    <w:p w14:paraId="26211E12" w14:textId="18459CA2" w:rsidR="00A327CF" w:rsidRPr="00326942" w:rsidRDefault="00A327CF" w:rsidP="00326942">
      <w:pPr>
        <w:spacing w:before="100" w:beforeAutospacing="1" w:after="100" w:afterAutospacing="1"/>
        <w:rPr>
          <w:rFonts w:ascii="Arial" w:hAnsi="Arial"/>
          <w:sz w:val="22"/>
        </w:rPr>
      </w:pPr>
      <w:r w:rsidRPr="00326942">
        <w:rPr>
          <w:rFonts w:ascii="Arial" w:eastAsia="Times New Roman" w:hAnsi="Arial" w:cs="Arial"/>
          <w:b/>
          <w:bCs/>
          <w:sz w:val="22"/>
        </w:rPr>
        <w:t>Risk Group</w:t>
      </w:r>
      <w:r w:rsidR="00161DE6" w:rsidRPr="00326942">
        <w:rPr>
          <w:rFonts w:ascii="Arial" w:eastAsia="Times New Roman" w:hAnsi="Arial" w:cs="Arial"/>
          <w:b/>
          <w:bCs/>
          <w:sz w:val="22"/>
        </w:rPr>
        <w:t>s (RGs)</w:t>
      </w:r>
      <w:r w:rsidRPr="00326942">
        <w:rPr>
          <w:rFonts w:ascii="Arial" w:eastAsia="Times New Roman" w:hAnsi="Arial" w:cs="Arial"/>
          <w:b/>
          <w:bCs/>
          <w:sz w:val="22"/>
        </w:rPr>
        <w:t>:</w:t>
      </w:r>
      <w:r w:rsidRPr="00326942">
        <w:rPr>
          <w:rFonts w:ascii="Arial" w:hAnsi="Arial"/>
          <w:sz w:val="22"/>
        </w:rPr>
        <w:t xml:space="preserve"> NIH categorizes experiments which involve r</w:t>
      </w:r>
      <w:r w:rsidRPr="00326942">
        <w:rPr>
          <w:rFonts w:ascii="Arial" w:eastAsia="Times New Roman" w:hAnsi="Arial" w:cs="Arial"/>
          <w:sz w:val="22"/>
        </w:rPr>
        <w:t xml:space="preserve">/s </w:t>
      </w:r>
      <w:r w:rsidRPr="00326942">
        <w:rPr>
          <w:rFonts w:ascii="Arial" w:hAnsi="Arial"/>
          <w:sz w:val="22"/>
        </w:rPr>
        <w:t xml:space="preserve">DNA into four </w:t>
      </w:r>
      <w:r w:rsidR="00161DE6" w:rsidRPr="00326942">
        <w:rPr>
          <w:rFonts w:ascii="Arial" w:eastAsia="Times New Roman" w:hAnsi="Arial" w:cs="Arial"/>
          <w:sz w:val="22"/>
        </w:rPr>
        <w:t>RGs</w:t>
      </w:r>
      <w:r w:rsidRPr="00326942">
        <w:rPr>
          <w:rFonts w:ascii="Arial" w:eastAsia="Times New Roman" w:hAnsi="Arial" w:cs="Arial"/>
          <w:sz w:val="22"/>
        </w:rPr>
        <w:t xml:space="preserve"> on the basis of hazard, according to their relative pathogenicity for healthy adult humans. </w:t>
      </w:r>
    </w:p>
    <w:p w14:paraId="5F8B6856" w14:textId="048CEA02" w:rsidR="00A327CF" w:rsidRPr="00326942" w:rsidRDefault="00A327CF" w:rsidP="00A327CF">
      <w:pPr>
        <w:pStyle w:val="ListParagraph"/>
        <w:numPr>
          <w:ilvl w:val="0"/>
          <w:numId w:val="7"/>
        </w:numPr>
        <w:spacing w:before="100" w:beforeAutospacing="1" w:after="100" w:afterAutospacing="1"/>
        <w:rPr>
          <w:rFonts w:ascii="Arial" w:eastAsia="Times New Roman" w:hAnsi="Arial" w:cs="Arial"/>
          <w:sz w:val="22"/>
        </w:rPr>
      </w:pPr>
      <w:r w:rsidRPr="00326942">
        <w:rPr>
          <w:rFonts w:ascii="Arial" w:eastAsia="Times New Roman" w:hAnsi="Arial" w:cs="Arial"/>
          <w:sz w:val="22"/>
        </w:rPr>
        <w:lastRenderedPageBreak/>
        <w:t>RG1 agents are not associated with disease in healthy adult humans</w:t>
      </w:r>
    </w:p>
    <w:p w14:paraId="022E963E" w14:textId="77777777" w:rsidR="00A327CF" w:rsidRPr="00326942" w:rsidRDefault="00A327CF" w:rsidP="00A327CF">
      <w:pPr>
        <w:pStyle w:val="ListParagraph"/>
        <w:numPr>
          <w:ilvl w:val="0"/>
          <w:numId w:val="7"/>
        </w:numPr>
        <w:spacing w:before="100" w:beforeAutospacing="1" w:after="100" w:afterAutospacing="1"/>
        <w:rPr>
          <w:rFonts w:ascii="Arial" w:eastAsia="Times New Roman" w:hAnsi="Arial" w:cs="Arial"/>
          <w:sz w:val="22"/>
        </w:rPr>
      </w:pPr>
      <w:r w:rsidRPr="00326942">
        <w:rPr>
          <w:rFonts w:ascii="Arial" w:eastAsia="Times New Roman" w:hAnsi="Arial" w:cs="Arial"/>
          <w:sz w:val="22"/>
        </w:rPr>
        <w:t>RG2 agents are associated with human disease which is rarely serious and for which preventive or therapeutic interventions are often available</w:t>
      </w:r>
    </w:p>
    <w:p w14:paraId="50468AAF" w14:textId="77777777" w:rsidR="00A327CF" w:rsidRPr="00326942" w:rsidRDefault="00A327CF" w:rsidP="00A327CF">
      <w:pPr>
        <w:pStyle w:val="ListParagraph"/>
        <w:numPr>
          <w:ilvl w:val="0"/>
          <w:numId w:val="7"/>
        </w:numPr>
        <w:spacing w:before="100" w:beforeAutospacing="1" w:after="100" w:afterAutospacing="1"/>
        <w:rPr>
          <w:rFonts w:ascii="Arial" w:eastAsia="Times New Roman" w:hAnsi="Arial" w:cs="Arial"/>
          <w:sz w:val="22"/>
        </w:rPr>
      </w:pPr>
      <w:r w:rsidRPr="00326942">
        <w:rPr>
          <w:rFonts w:ascii="Arial" w:eastAsia="Times New Roman" w:hAnsi="Arial" w:cs="Arial"/>
          <w:sz w:val="22"/>
        </w:rPr>
        <w:t>RG3 agents are associated with serious or lethal human disease for which preventative or therapeutic interventions may be available</w:t>
      </w:r>
    </w:p>
    <w:p w14:paraId="27015168" w14:textId="4B6BC655" w:rsidR="009B51CA" w:rsidRPr="00326942" w:rsidRDefault="00A327CF" w:rsidP="00326942">
      <w:pPr>
        <w:pStyle w:val="ListParagraph"/>
        <w:numPr>
          <w:ilvl w:val="0"/>
          <w:numId w:val="7"/>
        </w:numPr>
        <w:spacing w:before="100" w:beforeAutospacing="1" w:after="100" w:afterAutospacing="1"/>
        <w:rPr>
          <w:rFonts w:ascii="Arial" w:eastAsia="Times New Roman" w:hAnsi="Arial" w:cs="Arial"/>
          <w:sz w:val="22"/>
        </w:rPr>
      </w:pPr>
      <w:r w:rsidRPr="00326942">
        <w:rPr>
          <w:rFonts w:ascii="Arial" w:eastAsia="Times New Roman" w:hAnsi="Arial" w:cs="Arial"/>
          <w:sz w:val="22"/>
        </w:rPr>
        <w:t xml:space="preserve">RG4 agents are likely to cause serious or lethal human disease for which preventive or therapeutic interventions are not usually available </w:t>
      </w:r>
    </w:p>
    <w:p w14:paraId="789CC205" w14:textId="269B7439" w:rsidR="00373E8C" w:rsidRPr="00326942" w:rsidRDefault="00F539C5" w:rsidP="00373E8C">
      <w:pPr>
        <w:spacing w:before="100" w:beforeAutospacing="1" w:after="100" w:afterAutospacing="1"/>
        <w:rPr>
          <w:rFonts w:ascii="Arial" w:eastAsia="Times New Roman" w:hAnsi="Arial" w:cs="Arial"/>
          <w:sz w:val="22"/>
        </w:rPr>
      </w:pPr>
      <w:r w:rsidRPr="00326942">
        <w:rPr>
          <w:rFonts w:ascii="Arial" w:eastAsia="Times New Roman" w:hAnsi="Arial" w:cs="Arial"/>
          <w:b/>
          <w:bCs/>
          <w:sz w:val="22"/>
          <w:highlight w:val="lightGray"/>
        </w:rPr>
        <w:t xml:space="preserve">III. </w:t>
      </w:r>
      <w:r w:rsidR="002C04E2" w:rsidRPr="00326942">
        <w:rPr>
          <w:rFonts w:ascii="Arial" w:eastAsia="Times New Roman" w:hAnsi="Arial" w:cs="Arial"/>
          <w:b/>
          <w:bCs/>
          <w:sz w:val="22"/>
        </w:rPr>
        <w:t>ROLES AND RESPONS</w:t>
      </w:r>
      <w:r w:rsidR="006423D7">
        <w:rPr>
          <w:rFonts w:ascii="Arial" w:eastAsia="Times New Roman" w:hAnsi="Arial" w:cs="Arial"/>
          <w:b/>
          <w:bCs/>
          <w:sz w:val="22"/>
        </w:rPr>
        <w:t>I</w:t>
      </w:r>
      <w:r w:rsidR="002C04E2" w:rsidRPr="00326942">
        <w:rPr>
          <w:rFonts w:ascii="Arial" w:eastAsia="Times New Roman" w:hAnsi="Arial" w:cs="Arial"/>
          <w:b/>
          <w:bCs/>
          <w:sz w:val="22"/>
        </w:rPr>
        <w:t xml:space="preserve">BILITIES </w:t>
      </w:r>
    </w:p>
    <w:p w14:paraId="30CC1F58" w14:textId="5D83DE16" w:rsidR="00963CB8" w:rsidRPr="00326942" w:rsidRDefault="0019648B" w:rsidP="002546B6">
      <w:pPr>
        <w:pStyle w:val="ListParagraph"/>
        <w:numPr>
          <w:ilvl w:val="0"/>
          <w:numId w:val="12"/>
        </w:numPr>
        <w:rPr>
          <w:rFonts w:ascii="Arial" w:eastAsia="Times New Roman" w:hAnsi="Arial" w:cs="Arial"/>
          <w:sz w:val="22"/>
        </w:rPr>
      </w:pPr>
      <w:r w:rsidRPr="00326942">
        <w:rPr>
          <w:rFonts w:ascii="Arial" w:eastAsia="Times New Roman" w:hAnsi="Arial" w:cs="Arial"/>
          <w:sz w:val="22"/>
          <w:u w:val="single"/>
        </w:rPr>
        <w:t>Institutional Biosafety Committee</w:t>
      </w:r>
      <w:r w:rsidR="00594C94" w:rsidRPr="00326942">
        <w:rPr>
          <w:rFonts w:ascii="Arial" w:eastAsia="Times New Roman" w:hAnsi="Arial" w:cs="Arial"/>
          <w:sz w:val="22"/>
          <w:u w:val="single"/>
        </w:rPr>
        <w:t xml:space="preserve"> (IBC)</w:t>
      </w:r>
      <w:r w:rsidRPr="00326942">
        <w:rPr>
          <w:rFonts w:ascii="Arial" w:eastAsia="Times New Roman" w:hAnsi="Arial" w:cs="Arial"/>
          <w:sz w:val="22"/>
        </w:rPr>
        <w:t xml:space="preserve">: </w:t>
      </w:r>
      <w:r w:rsidR="00594C94" w:rsidRPr="00326942">
        <w:rPr>
          <w:rFonts w:ascii="Arial" w:eastAsia="Times New Roman" w:hAnsi="Arial" w:cs="Arial"/>
          <w:sz w:val="22"/>
        </w:rPr>
        <w:t xml:space="preserve">The IBC is </w:t>
      </w:r>
      <w:r w:rsidRPr="00326942">
        <w:rPr>
          <w:rFonts w:ascii="Arial" w:eastAsia="Times New Roman" w:hAnsi="Arial" w:cs="Arial"/>
          <w:sz w:val="22"/>
        </w:rPr>
        <w:t xml:space="preserve">responsible for reviewing and recommending policies and procedures with the goal of ensuring safe use of </w:t>
      </w:r>
      <w:r w:rsidR="00671689" w:rsidRPr="00326942">
        <w:rPr>
          <w:rFonts w:ascii="Arial" w:eastAsia="Times New Roman" w:hAnsi="Arial" w:cs="Arial"/>
          <w:sz w:val="22"/>
        </w:rPr>
        <w:t>r/s</w:t>
      </w:r>
      <w:r w:rsidRPr="00326942">
        <w:rPr>
          <w:rFonts w:ascii="Arial" w:eastAsia="Times New Roman" w:hAnsi="Arial" w:cs="Arial"/>
          <w:sz w:val="22"/>
        </w:rPr>
        <w:t xml:space="preserve"> DNA in research and compliance with guidelines established by the NIH and Centers for Disease Control (CDC).</w:t>
      </w:r>
      <w:r w:rsidR="00594C94" w:rsidRPr="00326942">
        <w:rPr>
          <w:rFonts w:ascii="Arial" w:eastAsia="Times New Roman" w:hAnsi="Arial" w:cs="Arial"/>
          <w:sz w:val="22"/>
        </w:rPr>
        <w:t xml:space="preserve"> The IBC is responsible for the review, approval, and oversight of activities with r</w:t>
      </w:r>
      <w:r w:rsidR="00671689" w:rsidRPr="00326942">
        <w:rPr>
          <w:rFonts w:ascii="Arial" w:eastAsia="Times New Roman" w:hAnsi="Arial" w:cs="Arial"/>
          <w:sz w:val="22"/>
        </w:rPr>
        <w:t xml:space="preserve">/s </w:t>
      </w:r>
      <w:r w:rsidR="00594C94" w:rsidRPr="00326942">
        <w:rPr>
          <w:rFonts w:ascii="Arial" w:eastAsia="Times New Roman" w:hAnsi="Arial" w:cs="Arial"/>
          <w:sz w:val="22"/>
        </w:rPr>
        <w:t xml:space="preserve">DNA conducted at or sponsored by the University, regardless of source of funding. </w:t>
      </w:r>
    </w:p>
    <w:p w14:paraId="21DB519B" w14:textId="77777777" w:rsidR="00963CB8" w:rsidRPr="00326942" w:rsidRDefault="00963CB8" w:rsidP="00F70B22">
      <w:pPr>
        <w:rPr>
          <w:rFonts w:ascii="Arial" w:eastAsia="Times New Roman" w:hAnsi="Arial" w:cs="Arial"/>
          <w:sz w:val="22"/>
        </w:rPr>
      </w:pPr>
    </w:p>
    <w:p w14:paraId="75D66A97" w14:textId="2CFA0EDE" w:rsidR="0019648B" w:rsidRPr="00326942" w:rsidRDefault="0019648B" w:rsidP="00326942">
      <w:pPr>
        <w:pStyle w:val="ListParagraph"/>
        <w:rPr>
          <w:rFonts w:ascii="Arial" w:hAnsi="Arial"/>
          <w:sz w:val="22"/>
        </w:rPr>
      </w:pPr>
      <w:r w:rsidRPr="00326942">
        <w:rPr>
          <w:rFonts w:ascii="Arial" w:eastAsia="Times New Roman" w:hAnsi="Arial" w:cs="Arial"/>
          <w:sz w:val="22"/>
        </w:rPr>
        <w:t>The IBC shall consist of faculty, staff and community members with experience and expertise in r</w:t>
      </w:r>
      <w:r w:rsidR="00671689" w:rsidRPr="00326942">
        <w:rPr>
          <w:rFonts w:ascii="Arial" w:eastAsia="Times New Roman" w:hAnsi="Arial" w:cs="Arial"/>
          <w:sz w:val="22"/>
        </w:rPr>
        <w:t>/s</w:t>
      </w:r>
      <w:r w:rsidRPr="00326942">
        <w:rPr>
          <w:rFonts w:ascii="Arial" w:eastAsia="Times New Roman" w:hAnsi="Arial" w:cs="Arial"/>
          <w:sz w:val="22"/>
        </w:rPr>
        <w:t xml:space="preserve"> DNA technology and biosafety and physical containment. </w:t>
      </w:r>
      <w:r w:rsidR="00594C94" w:rsidRPr="00326942">
        <w:rPr>
          <w:rFonts w:ascii="Arial" w:eastAsia="Times New Roman" w:hAnsi="Arial" w:cs="Arial"/>
          <w:sz w:val="22"/>
        </w:rPr>
        <w:t xml:space="preserve">The composition of the membership of the IBC shall meet all membership requirements in the NIH guidelines. </w:t>
      </w:r>
      <w:r w:rsidR="00963CB8" w:rsidRPr="00326942">
        <w:rPr>
          <w:rFonts w:ascii="Arial" w:eastAsia="Times New Roman" w:hAnsi="Arial" w:cs="Arial"/>
          <w:sz w:val="22"/>
        </w:rPr>
        <w:t>A chairperson will be appoint</w:t>
      </w:r>
      <w:r w:rsidR="00C14B4C" w:rsidRPr="00326942">
        <w:rPr>
          <w:rFonts w:ascii="Arial" w:eastAsia="Times New Roman" w:hAnsi="Arial" w:cs="Arial"/>
          <w:sz w:val="22"/>
        </w:rPr>
        <w:t>ed</w:t>
      </w:r>
      <w:r w:rsidR="00963CB8" w:rsidRPr="00326942">
        <w:rPr>
          <w:rFonts w:ascii="Arial" w:eastAsia="Times New Roman" w:hAnsi="Arial" w:cs="Arial"/>
          <w:sz w:val="22"/>
        </w:rPr>
        <w:t xml:space="preserve"> by the Chief Research Officer of the Office of Research Administration.</w:t>
      </w:r>
      <w:r w:rsidR="00963CB8" w:rsidRPr="00326942">
        <w:rPr>
          <w:rFonts w:ascii="Arial" w:hAnsi="Arial"/>
          <w:sz w:val="22"/>
        </w:rPr>
        <w:t xml:space="preserve"> Committee members are appointed for a term of three years and may be reappointed to additional three</w:t>
      </w:r>
      <w:r w:rsidR="00963CB8" w:rsidRPr="00326942">
        <w:rPr>
          <w:rFonts w:ascii="Arial" w:eastAsia="Times New Roman" w:hAnsi="Arial" w:cs="Arial"/>
          <w:sz w:val="22"/>
        </w:rPr>
        <w:t xml:space="preserve"> </w:t>
      </w:r>
      <w:r w:rsidR="00963CB8" w:rsidRPr="00326942">
        <w:rPr>
          <w:rFonts w:ascii="Arial" w:hAnsi="Arial"/>
          <w:sz w:val="22"/>
        </w:rPr>
        <w:t>year terms without limitation</w:t>
      </w:r>
      <w:r w:rsidR="00963CB8" w:rsidRPr="00326942">
        <w:rPr>
          <w:rFonts w:ascii="Arial" w:eastAsia="Times New Roman" w:hAnsi="Arial" w:cs="Arial"/>
          <w:sz w:val="22"/>
        </w:rPr>
        <w:t>. The WCU Laboratory Safety Officer and Research Compliance Officer are permanent members of the IBC</w:t>
      </w:r>
      <w:r w:rsidR="00963CB8" w:rsidRPr="00326942">
        <w:rPr>
          <w:rFonts w:ascii="Arial" w:hAnsi="Arial"/>
          <w:sz w:val="22"/>
        </w:rPr>
        <w:t>.</w:t>
      </w:r>
    </w:p>
    <w:p w14:paraId="3DC42767" w14:textId="77777777" w:rsidR="0019648B" w:rsidRPr="00326942" w:rsidRDefault="0019648B" w:rsidP="00F70B22">
      <w:pPr>
        <w:rPr>
          <w:rFonts w:ascii="Arial" w:eastAsia="Times New Roman" w:hAnsi="Arial" w:cs="Arial"/>
          <w:sz w:val="22"/>
        </w:rPr>
      </w:pPr>
    </w:p>
    <w:p w14:paraId="292880B2" w14:textId="727BBB22" w:rsidR="00F70B22" w:rsidRPr="00326942" w:rsidRDefault="00F70B22" w:rsidP="002546B6">
      <w:pPr>
        <w:pStyle w:val="ListParagraph"/>
        <w:numPr>
          <w:ilvl w:val="0"/>
          <w:numId w:val="12"/>
        </w:numPr>
        <w:rPr>
          <w:rFonts w:ascii="Arial" w:eastAsia="Times New Roman" w:hAnsi="Arial" w:cs="Arial"/>
          <w:sz w:val="22"/>
        </w:rPr>
      </w:pPr>
      <w:r w:rsidRPr="00326942">
        <w:rPr>
          <w:rFonts w:ascii="Arial" w:eastAsia="Times New Roman" w:hAnsi="Arial" w:cs="Arial"/>
          <w:sz w:val="22"/>
          <w:u w:val="single"/>
        </w:rPr>
        <w:t xml:space="preserve">Office of Research Administration (ORA) and the </w:t>
      </w:r>
      <w:r w:rsidR="00C27294" w:rsidRPr="00326942">
        <w:rPr>
          <w:rFonts w:ascii="Arial" w:eastAsia="Times New Roman" w:hAnsi="Arial" w:cs="Arial"/>
          <w:sz w:val="22"/>
          <w:u w:val="single"/>
        </w:rPr>
        <w:t>Research Compliance Officer (RCO)</w:t>
      </w:r>
      <w:r w:rsidRPr="00326942">
        <w:rPr>
          <w:rFonts w:ascii="Arial" w:eastAsia="Times New Roman" w:hAnsi="Arial" w:cs="Arial"/>
          <w:sz w:val="22"/>
        </w:rPr>
        <w:t xml:space="preserve">: The ORA and </w:t>
      </w:r>
      <w:r w:rsidR="00C27294" w:rsidRPr="00326942">
        <w:rPr>
          <w:rFonts w:ascii="Arial" w:eastAsia="Times New Roman" w:hAnsi="Arial" w:cs="Arial"/>
          <w:sz w:val="22"/>
        </w:rPr>
        <w:t>RCO</w:t>
      </w:r>
      <w:r w:rsidRPr="00326942">
        <w:rPr>
          <w:rFonts w:ascii="Arial" w:eastAsia="Times New Roman" w:hAnsi="Arial" w:cs="Arial"/>
          <w:sz w:val="22"/>
        </w:rPr>
        <w:t xml:space="preserve"> provide administrative support to the IBC, maintain appropriate record</w:t>
      </w:r>
      <w:r w:rsidR="00C27294" w:rsidRPr="00326942">
        <w:rPr>
          <w:rFonts w:ascii="Arial" w:eastAsia="Times New Roman" w:hAnsi="Arial" w:cs="Arial"/>
          <w:sz w:val="22"/>
        </w:rPr>
        <w:t>s, and receive all Request for Review Forms</w:t>
      </w:r>
      <w:r w:rsidRPr="00326942">
        <w:rPr>
          <w:rFonts w:ascii="Arial" w:eastAsia="Times New Roman" w:hAnsi="Arial" w:cs="Arial"/>
          <w:sz w:val="22"/>
        </w:rPr>
        <w:t xml:space="preserve"> for research involving r</w:t>
      </w:r>
      <w:r w:rsidR="002C04E2" w:rsidRPr="00326942">
        <w:rPr>
          <w:rFonts w:ascii="Arial" w:eastAsia="Times New Roman" w:hAnsi="Arial" w:cs="Arial"/>
          <w:sz w:val="22"/>
        </w:rPr>
        <w:t>/s</w:t>
      </w:r>
      <w:r w:rsidR="00F319F1">
        <w:rPr>
          <w:rFonts w:ascii="Arial" w:eastAsia="Times New Roman" w:hAnsi="Arial" w:cs="Arial"/>
          <w:sz w:val="22"/>
        </w:rPr>
        <w:t xml:space="preserve"> </w:t>
      </w:r>
      <w:r w:rsidRPr="00326942">
        <w:rPr>
          <w:rFonts w:ascii="Arial" w:eastAsia="Times New Roman" w:hAnsi="Arial" w:cs="Arial"/>
          <w:sz w:val="22"/>
        </w:rPr>
        <w:t>DNA.</w:t>
      </w:r>
    </w:p>
    <w:p w14:paraId="11DE042F" w14:textId="77777777" w:rsidR="00F70B22" w:rsidRPr="00326942" w:rsidRDefault="00F70B22" w:rsidP="00F70B22">
      <w:pPr>
        <w:rPr>
          <w:rFonts w:ascii="Arial" w:eastAsia="Times New Roman" w:hAnsi="Arial" w:cs="Arial"/>
          <w:sz w:val="22"/>
          <w:u w:val="single"/>
        </w:rPr>
      </w:pPr>
    </w:p>
    <w:p w14:paraId="0D53388C" w14:textId="77777777" w:rsidR="0019648B" w:rsidRPr="00326942" w:rsidRDefault="00963CB8" w:rsidP="002546B6">
      <w:pPr>
        <w:pStyle w:val="ListParagraph"/>
        <w:numPr>
          <w:ilvl w:val="0"/>
          <w:numId w:val="12"/>
        </w:numPr>
        <w:rPr>
          <w:rFonts w:ascii="Arial" w:eastAsia="Times New Roman" w:hAnsi="Arial" w:cs="Arial"/>
          <w:sz w:val="22"/>
        </w:rPr>
      </w:pPr>
      <w:r w:rsidRPr="00326942">
        <w:rPr>
          <w:rFonts w:ascii="Arial" w:eastAsia="Times New Roman" w:hAnsi="Arial" w:cs="Arial"/>
          <w:sz w:val="22"/>
          <w:u w:val="single"/>
        </w:rPr>
        <w:t xml:space="preserve">Office of </w:t>
      </w:r>
      <w:r w:rsidR="0019648B" w:rsidRPr="00326942">
        <w:rPr>
          <w:rFonts w:ascii="Arial" w:eastAsia="Times New Roman" w:hAnsi="Arial" w:cs="Arial"/>
          <w:sz w:val="22"/>
          <w:u w:val="single"/>
        </w:rPr>
        <w:t xml:space="preserve">Safety </w:t>
      </w:r>
      <w:r w:rsidRPr="00326942">
        <w:rPr>
          <w:rFonts w:ascii="Arial" w:eastAsia="Times New Roman" w:hAnsi="Arial" w:cs="Arial"/>
          <w:sz w:val="22"/>
          <w:u w:val="single"/>
        </w:rPr>
        <w:t>and Risk Management</w:t>
      </w:r>
      <w:r w:rsidR="00594C94" w:rsidRPr="00326942">
        <w:rPr>
          <w:rFonts w:ascii="Arial" w:eastAsia="Times New Roman" w:hAnsi="Arial" w:cs="Arial"/>
          <w:sz w:val="22"/>
          <w:u w:val="single"/>
        </w:rPr>
        <w:t xml:space="preserve"> and Safety Office</w:t>
      </w:r>
      <w:r w:rsidR="0019648B" w:rsidRPr="00326942">
        <w:rPr>
          <w:rFonts w:ascii="Arial" w:eastAsia="Times New Roman" w:hAnsi="Arial" w:cs="Arial"/>
          <w:sz w:val="22"/>
          <w:u w:val="single"/>
        </w:rPr>
        <w:t>r</w:t>
      </w:r>
      <w:r w:rsidR="0019648B" w:rsidRPr="00326942">
        <w:rPr>
          <w:rFonts w:ascii="Arial" w:eastAsia="Times New Roman" w:hAnsi="Arial" w:cs="Arial"/>
          <w:sz w:val="22"/>
        </w:rPr>
        <w:t xml:space="preserve">: </w:t>
      </w:r>
      <w:r w:rsidRPr="00326942">
        <w:rPr>
          <w:rFonts w:ascii="Arial" w:eastAsia="Times New Roman" w:hAnsi="Arial" w:cs="Arial"/>
          <w:sz w:val="22"/>
        </w:rPr>
        <w:t xml:space="preserve">The Office of Safety and Risk Management registers all pathogens and labs, and maintains a biological inventory of all pathogens on campus.  All biohazardous agents used in research and teaching laboratories on campus must be registered with this office. </w:t>
      </w:r>
      <w:r w:rsidR="00594C94" w:rsidRPr="00326942">
        <w:rPr>
          <w:rFonts w:ascii="Arial" w:eastAsia="Times New Roman" w:hAnsi="Arial" w:cs="Arial"/>
          <w:sz w:val="22"/>
        </w:rPr>
        <w:t>The role of the Safety Officer is to assure the use of biohazardous agents conform to university policy and applicable government regulation, to conduct periodic inspection of biological laboratories, and provide biosafety training.</w:t>
      </w:r>
      <w:r w:rsidR="007C7583" w:rsidRPr="00326942">
        <w:rPr>
          <w:rFonts w:ascii="Arial" w:eastAsia="Times New Roman" w:hAnsi="Arial" w:cs="Arial"/>
          <w:sz w:val="22"/>
        </w:rPr>
        <w:t xml:space="preserve"> The Safety Officer provides an annual report to the IBC of agents on campus. </w:t>
      </w:r>
      <w:r w:rsidR="00594C94" w:rsidRPr="00326942">
        <w:rPr>
          <w:rFonts w:ascii="Arial" w:eastAsia="Times New Roman" w:hAnsi="Arial" w:cs="Arial"/>
          <w:sz w:val="22"/>
        </w:rPr>
        <w:t xml:space="preserve"> </w:t>
      </w:r>
    </w:p>
    <w:p w14:paraId="4CAD128C" w14:textId="77777777" w:rsidR="00594C94" w:rsidRPr="00326942" w:rsidRDefault="00594C94" w:rsidP="00F70B22">
      <w:pPr>
        <w:rPr>
          <w:rFonts w:ascii="Arial" w:eastAsia="Times New Roman" w:hAnsi="Arial" w:cs="Arial"/>
          <w:sz w:val="22"/>
        </w:rPr>
      </w:pPr>
    </w:p>
    <w:p w14:paraId="26AD6DD6" w14:textId="1CF5697C" w:rsidR="00F70B22" w:rsidRPr="00326942" w:rsidRDefault="00F70B22" w:rsidP="002546B6">
      <w:pPr>
        <w:pStyle w:val="ListParagraph"/>
        <w:numPr>
          <w:ilvl w:val="0"/>
          <w:numId w:val="12"/>
        </w:numPr>
        <w:rPr>
          <w:rFonts w:ascii="Arial" w:eastAsia="Times New Roman" w:hAnsi="Arial" w:cs="Arial"/>
          <w:sz w:val="22"/>
        </w:rPr>
      </w:pPr>
      <w:r w:rsidRPr="00326942">
        <w:rPr>
          <w:rFonts w:ascii="Arial" w:eastAsia="Times New Roman" w:hAnsi="Arial" w:cs="Arial"/>
          <w:sz w:val="22"/>
          <w:u w:val="single"/>
        </w:rPr>
        <w:t>Principal Investigator</w:t>
      </w:r>
      <w:r w:rsidR="004C068B" w:rsidRPr="00326942">
        <w:rPr>
          <w:rFonts w:ascii="Arial" w:eastAsia="Times New Roman" w:hAnsi="Arial" w:cs="Arial"/>
          <w:sz w:val="22"/>
        </w:rPr>
        <w:t xml:space="preserve"> (PI): The PI is responsible for full compliance with NIH Guidelines in the conduct</w:t>
      </w:r>
      <w:r w:rsidR="00D93D0E" w:rsidRPr="00326942">
        <w:rPr>
          <w:rFonts w:ascii="Arial" w:eastAsia="Times New Roman" w:hAnsi="Arial" w:cs="Arial"/>
          <w:sz w:val="22"/>
        </w:rPr>
        <w:t xml:space="preserve"> of</w:t>
      </w:r>
      <w:r w:rsidR="004C068B" w:rsidRPr="00326942">
        <w:rPr>
          <w:rFonts w:ascii="Arial" w:eastAsia="Times New Roman" w:hAnsi="Arial" w:cs="Arial"/>
          <w:sz w:val="22"/>
        </w:rPr>
        <w:t xml:space="preserve"> r</w:t>
      </w:r>
      <w:r w:rsidR="00671689" w:rsidRPr="00326942">
        <w:rPr>
          <w:rFonts w:ascii="Arial" w:eastAsia="Times New Roman" w:hAnsi="Arial" w:cs="Arial"/>
          <w:sz w:val="22"/>
        </w:rPr>
        <w:t xml:space="preserve">/s </w:t>
      </w:r>
      <w:r w:rsidR="004C068B" w:rsidRPr="00326942">
        <w:rPr>
          <w:rFonts w:ascii="Arial" w:eastAsia="Times New Roman" w:hAnsi="Arial" w:cs="Arial"/>
          <w:sz w:val="22"/>
        </w:rPr>
        <w:t>DNA research</w:t>
      </w:r>
      <w:r w:rsidR="0004606C" w:rsidRPr="00326942">
        <w:rPr>
          <w:rFonts w:ascii="Arial" w:eastAsia="Times New Roman" w:hAnsi="Arial" w:cs="Arial"/>
          <w:sz w:val="22"/>
        </w:rPr>
        <w:t xml:space="preserve"> and must register all pathogens </w:t>
      </w:r>
      <w:r w:rsidR="00D93D0E" w:rsidRPr="00326942">
        <w:rPr>
          <w:rFonts w:ascii="Arial" w:eastAsia="Times New Roman" w:hAnsi="Arial" w:cs="Arial"/>
          <w:sz w:val="22"/>
        </w:rPr>
        <w:t xml:space="preserve">and </w:t>
      </w:r>
      <w:r w:rsidR="0004606C" w:rsidRPr="00326942">
        <w:rPr>
          <w:rFonts w:ascii="Arial" w:eastAsia="Times New Roman" w:hAnsi="Arial" w:cs="Arial"/>
          <w:sz w:val="22"/>
        </w:rPr>
        <w:t xml:space="preserve">labs with the Safety Office. </w:t>
      </w:r>
      <w:r w:rsidR="00C75F2B" w:rsidRPr="00326942">
        <w:rPr>
          <w:rFonts w:ascii="Arial" w:eastAsia="Times New Roman" w:hAnsi="Arial" w:cs="Arial"/>
          <w:sz w:val="22"/>
        </w:rPr>
        <w:t>The PI shall conduct the initial risk assessment required by NIH Guidelines § 11-A-3.</w:t>
      </w:r>
      <w:r w:rsidR="0004606C" w:rsidRPr="00326942">
        <w:rPr>
          <w:rFonts w:ascii="Arial" w:eastAsia="Times New Roman" w:hAnsi="Arial" w:cs="Arial"/>
          <w:sz w:val="22"/>
        </w:rPr>
        <w:t xml:space="preserve"> </w:t>
      </w:r>
      <w:r w:rsidR="004C068B" w:rsidRPr="00326942">
        <w:rPr>
          <w:rFonts w:ascii="Arial" w:eastAsia="Times New Roman" w:hAnsi="Arial" w:cs="Arial"/>
          <w:sz w:val="22"/>
        </w:rPr>
        <w:t>The PI</w:t>
      </w:r>
      <w:r w:rsidR="00B83BA1" w:rsidRPr="00326942">
        <w:rPr>
          <w:rFonts w:ascii="Arial" w:eastAsia="Times New Roman" w:hAnsi="Arial" w:cs="Arial"/>
          <w:sz w:val="22"/>
        </w:rPr>
        <w:t xml:space="preserve"> </w:t>
      </w:r>
      <w:r w:rsidR="004C068B" w:rsidRPr="00326942">
        <w:rPr>
          <w:rFonts w:ascii="Arial" w:eastAsia="Times New Roman" w:hAnsi="Arial" w:cs="Arial"/>
          <w:sz w:val="22"/>
        </w:rPr>
        <w:t xml:space="preserve">shall </w:t>
      </w:r>
      <w:r w:rsidR="00C27294" w:rsidRPr="00326942">
        <w:rPr>
          <w:rFonts w:ascii="Arial" w:eastAsia="Times New Roman" w:hAnsi="Arial" w:cs="Arial"/>
          <w:sz w:val="22"/>
        </w:rPr>
        <w:t xml:space="preserve">complete and </w:t>
      </w:r>
      <w:r w:rsidR="004C068B" w:rsidRPr="00326942">
        <w:rPr>
          <w:rFonts w:ascii="Arial" w:eastAsia="Times New Roman" w:hAnsi="Arial" w:cs="Arial"/>
          <w:sz w:val="22"/>
        </w:rPr>
        <w:t xml:space="preserve">submit a </w:t>
      </w:r>
      <w:r w:rsidR="007323EB" w:rsidRPr="00326942">
        <w:rPr>
          <w:rFonts w:ascii="Arial" w:eastAsia="Times New Roman" w:hAnsi="Arial" w:cs="Arial"/>
          <w:sz w:val="22"/>
        </w:rPr>
        <w:t xml:space="preserve">Request to Review </w:t>
      </w:r>
      <w:r w:rsidR="004C068B" w:rsidRPr="00326942">
        <w:rPr>
          <w:rFonts w:ascii="Arial" w:eastAsia="Times New Roman" w:hAnsi="Arial" w:cs="Arial"/>
          <w:sz w:val="22"/>
        </w:rPr>
        <w:t>research protocol</w:t>
      </w:r>
      <w:r w:rsidR="006D3DE9" w:rsidRPr="00326942">
        <w:rPr>
          <w:rFonts w:ascii="Arial" w:eastAsia="Times New Roman" w:hAnsi="Arial" w:cs="Arial"/>
          <w:sz w:val="22"/>
        </w:rPr>
        <w:t xml:space="preserve"> F</w:t>
      </w:r>
      <w:r w:rsidR="007323EB" w:rsidRPr="00326942">
        <w:rPr>
          <w:rFonts w:ascii="Arial" w:eastAsia="Times New Roman" w:hAnsi="Arial" w:cs="Arial"/>
          <w:sz w:val="22"/>
        </w:rPr>
        <w:t>orm,</w:t>
      </w:r>
      <w:r w:rsidR="004C068B" w:rsidRPr="00326942">
        <w:rPr>
          <w:rFonts w:ascii="Arial" w:eastAsia="Times New Roman" w:hAnsi="Arial" w:cs="Arial"/>
          <w:sz w:val="22"/>
        </w:rPr>
        <w:t xml:space="preserve"> </w:t>
      </w:r>
      <w:r w:rsidR="00373E8C" w:rsidRPr="00326942">
        <w:rPr>
          <w:rFonts w:ascii="Arial" w:eastAsia="Times New Roman" w:hAnsi="Arial" w:cs="Arial"/>
          <w:sz w:val="22"/>
        </w:rPr>
        <w:t>and shall ensure that r</w:t>
      </w:r>
      <w:r w:rsidR="00671689" w:rsidRPr="00326942">
        <w:rPr>
          <w:rFonts w:ascii="Arial" w:eastAsia="Times New Roman" w:hAnsi="Arial" w:cs="Arial"/>
          <w:sz w:val="22"/>
        </w:rPr>
        <w:t xml:space="preserve">/s </w:t>
      </w:r>
      <w:r w:rsidR="00373E8C" w:rsidRPr="00326942">
        <w:rPr>
          <w:rFonts w:ascii="Arial" w:eastAsia="Times New Roman" w:hAnsi="Arial" w:cs="Arial"/>
          <w:sz w:val="22"/>
        </w:rPr>
        <w:t xml:space="preserve">DNA research activities subject to the NIH Guidelines are initiated or modified only after that research or proposed modification has been reviewed and approved by the IBC. </w:t>
      </w:r>
      <w:r w:rsidR="00961743" w:rsidRPr="00326942">
        <w:rPr>
          <w:rFonts w:ascii="Arial" w:hAnsi="Arial" w:cs="Arial"/>
          <w:sz w:val="22"/>
        </w:rPr>
        <w:t>The PI is responsible for training laboratory staff and students in the practices and techniques required to maintain safety and in the procedures for handling accidents.</w:t>
      </w:r>
      <w:r w:rsidR="0004606C" w:rsidRPr="00326942">
        <w:rPr>
          <w:rFonts w:ascii="Arial" w:hAnsi="Arial" w:cs="Arial"/>
          <w:sz w:val="22"/>
        </w:rPr>
        <w:t xml:space="preserve"> </w:t>
      </w:r>
    </w:p>
    <w:p w14:paraId="37999B48" w14:textId="77777777" w:rsidR="00A327CF" w:rsidRPr="00326942" w:rsidRDefault="00A327CF" w:rsidP="007C7583">
      <w:pPr>
        <w:spacing w:before="100" w:beforeAutospacing="1" w:after="100" w:afterAutospacing="1"/>
        <w:rPr>
          <w:rFonts w:ascii="Arial" w:eastAsia="Times New Roman" w:hAnsi="Arial" w:cs="Arial"/>
          <w:b/>
          <w:bCs/>
          <w:sz w:val="22"/>
        </w:rPr>
      </w:pPr>
      <w:r w:rsidRPr="00326942">
        <w:rPr>
          <w:rFonts w:ascii="Arial" w:eastAsia="Times New Roman" w:hAnsi="Arial" w:cs="Arial"/>
          <w:b/>
          <w:bCs/>
          <w:sz w:val="22"/>
        </w:rPr>
        <w:t>IV. PROTOCOL REVIEW AND APPEAL</w:t>
      </w:r>
    </w:p>
    <w:p w14:paraId="665B7093" w14:textId="5BCE240A" w:rsidR="009B51CA" w:rsidRPr="00326942" w:rsidRDefault="009B51CA" w:rsidP="002546B6">
      <w:pPr>
        <w:pStyle w:val="ListParagraph"/>
        <w:numPr>
          <w:ilvl w:val="0"/>
          <w:numId w:val="11"/>
        </w:numPr>
        <w:spacing w:before="100" w:beforeAutospacing="1" w:after="100" w:afterAutospacing="1"/>
        <w:rPr>
          <w:rFonts w:ascii="Arial" w:eastAsia="Times New Roman" w:hAnsi="Arial" w:cs="Arial"/>
          <w:sz w:val="22"/>
        </w:rPr>
      </w:pPr>
      <w:r w:rsidRPr="00326942">
        <w:rPr>
          <w:rFonts w:ascii="Arial" w:eastAsia="Times New Roman" w:hAnsi="Arial" w:cs="Arial"/>
          <w:sz w:val="22"/>
        </w:rPr>
        <w:t>Review of New Protocol</w:t>
      </w:r>
    </w:p>
    <w:p w14:paraId="5CFA9C54" w14:textId="1855B902" w:rsidR="00B83BA1" w:rsidRPr="00326942" w:rsidRDefault="00B83BA1" w:rsidP="00326942">
      <w:pPr>
        <w:spacing w:before="100" w:beforeAutospacing="1" w:after="100" w:afterAutospacing="1"/>
        <w:rPr>
          <w:rFonts w:ascii="Arial" w:hAnsi="Arial"/>
          <w:sz w:val="22"/>
        </w:rPr>
      </w:pPr>
      <w:r w:rsidRPr="00326942">
        <w:rPr>
          <w:rFonts w:ascii="Arial" w:eastAsia="Times New Roman" w:hAnsi="Arial" w:cs="Arial"/>
          <w:sz w:val="22"/>
        </w:rPr>
        <w:lastRenderedPageBreak/>
        <w:t xml:space="preserve">The PI must </w:t>
      </w:r>
      <w:r w:rsidR="00C75F2B" w:rsidRPr="00326942">
        <w:rPr>
          <w:rFonts w:ascii="Arial" w:eastAsia="Times New Roman" w:hAnsi="Arial" w:cs="Arial"/>
          <w:sz w:val="22"/>
        </w:rPr>
        <w:t>conduct the</w:t>
      </w:r>
      <w:r w:rsidRPr="00326942">
        <w:rPr>
          <w:rFonts w:ascii="Arial" w:eastAsia="Times New Roman" w:hAnsi="Arial" w:cs="Arial"/>
          <w:sz w:val="22"/>
        </w:rPr>
        <w:t xml:space="preserve"> initial risk assessment based on the RG of an agent, and shall submit a protocol application to the Research Compliance Officer </w:t>
      </w:r>
      <w:r w:rsidR="00756405" w:rsidRPr="00326942">
        <w:rPr>
          <w:rFonts w:ascii="Arial" w:eastAsia="Times New Roman" w:hAnsi="Arial" w:cs="Arial"/>
          <w:sz w:val="22"/>
        </w:rPr>
        <w:t xml:space="preserve">(RCO) </w:t>
      </w:r>
      <w:r w:rsidRPr="00326942">
        <w:rPr>
          <w:rFonts w:ascii="Arial" w:eastAsia="Times New Roman" w:hAnsi="Arial" w:cs="Arial"/>
          <w:sz w:val="22"/>
        </w:rPr>
        <w:t>in the Office of Research Administration</w:t>
      </w:r>
      <w:r w:rsidR="007C7583" w:rsidRPr="00326942">
        <w:rPr>
          <w:rFonts w:ascii="Arial" w:eastAsia="Times New Roman" w:hAnsi="Arial" w:cs="Arial"/>
          <w:sz w:val="22"/>
        </w:rPr>
        <w:t xml:space="preserve">. </w:t>
      </w:r>
      <w:r w:rsidR="00FA5750" w:rsidRPr="00326942">
        <w:rPr>
          <w:rFonts w:ascii="Arial" w:eastAsia="Times New Roman" w:hAnsi="Arial" w:cs="Arial"/>
          <w:sz w:val="22"/>
        </w:rPr>
        <w:t xml:space="preserve">Research requiring biosafety level 3 or 4 containment is prohibited at WCU as there are no suitable facilities. </w:t>
      </w:r>
      <w:r w:rsidRPr="00326942">
        <w:rPr>
          <w:rFonts w:ascii="Arial" w:eastAsia="Times New Roman" w:hAnsi="Arial" w:cs="Arial"/>
          <w:sz w:val="22"/>
        </w:rPr>
        <w:t>The RCO will co</w:t>
      </w:r>
      <w:r w:rsidR="006D3DE9" w:rsidRPr="00326942">
        <w:rPr>
          <w:rFonts w:ascii="Arial" w:eastAsia="Times New Roman" w:hAnsi="Arial" w:cs="Arial"/>
          <w:sz w:val="22"/>
        </w:rPr>
        <w:t>nvene the IBC to conduct review</w:t>
      </w:r>
      <w:r w:rsidRPr="00326942">
        <w:rPr>
          <w:rFonts w:ascii="Arial" w:eastAsia="Times New Roman" w:hAnsi="Arial" w:cs="Arial"/>
          <w:sz w:val="22"/>
        </w:rPr>
        <w:t xml:space="preserve"> of new applications and protocol modifications at least b</w:t>
      </w:r>
      <w:r w:rsidR="007C7583" w:rsidRPr="00326942">
        <w:rPr>
          <w:rFonts w:ascii="Arial" w:eastAsia="Times New Roman" w:hAnsi="Arial" w:cs="Arial"/>
          <w:sz w:val="22"/>
        </w:rPr>
        <w:t xml:space="preserve">iannually, at which quorum is required. </w:t>
      </w:r>
      <w:r w:rsidR="007C7583" w:rsidRPr="00326942">
        <w:rPr>
          <w:rFonts w:ascii="Arial" w:hAnsi="Arial"/>
          <w:sz w:val="22"/>
        </w:rPr>
        <w:t>No member of the IBC may participate in the review of an application in which the committee member has a conflicting interest, except to provide information if requested. Specialists may be invited to meetings to assist in review of issues beyond or in addition to the expertise available to the IBC.</w:t>
      </w:r>
      <w:r w:rsidR="007C7583" w:rsidRPr="00326942">
        <w:rPr>
          <w:rFonts w:ascii="Arial" w:eastAsia="Times New Roman" w:hAnsi="Arial" w:cs="Arial"/>
          <w:sz w:val="22"/>
        </w:rPr>
        <w:t xml:space="preserve"> </w:t>
      </w:r>
    </w:p>
    <w:p w14:paraId="154C360F" w14:textId="4E89BAF6" w:rsidR="00B83BA1" w:rsidRPr="00326942" w:rsidRDefault="00B83BA1" w:rsidP="00393802">
      <w:pPr>
        <w:ind w:left="360"/>
        <w:rPr>
          <w:rFonts w:ascii="Arial" w:hAnsi="Arial" w:cs="Arial"/>
          <w:sz w:val="22"/>
        </w:rPr>
      </w:pPr>
      <w:r w:rsidRPr="00326942">
        <w:rPr>
          <w:rFonts w:ascii="Arial" w:hAnsi="Arial" w:cs="Arial"/>
          <w:sz w:val="22"/>
        </w:rPr>
        <w:t>IBC review of new protocol applications</w:t>
      </w:r>
      <w:r w:rsidRPr="00326942">
        <w:rPr>
          <w:rFonts w:ascii="Arial" w:hAnsi="Arial"/>
          <w:sz w:val="22"/>
        </w:rPr>
        <w:t xml:space="preserve"> will </w:t>
      </w:r>
      <w:r w:rsidRPr="00326942">
        <w:rPr>
          <w:rFonts w:ascii="Arial" w:hAnsi="Arial" w:cs="Arial"/>
          <w:sz w:val="22"/>
        </w:rPr>
        <w:t xml:space="preserve">include:   </w:t>
      </w:r>
    </w:p>
    <w:p w14:paraId="27C29460" w14:textId="7B0B5033" w:rsidR="00B83BA1" w:rsidRPr="00326942" w:rsidRDefault="00B83BA1" w:rsidP="00326942">
      <w:pPr>
        <w:pStyle w:val="ListParagraph"/>
        <w:numPr>
          <w:ilvl w:val="0"/>
          <w:numId w:val="9"/>
        </w:numPr>
        <w:ind w:left="1080"/>
        <w:rPr>
          <w:rFonts w:ascii="Arial" w:hAnsi="Arial"/>
          <w:sz w:val="22"/>
        </w:rPr>
      </w:pPr>
      <w:r w:rsidRPr="00326942">
        <w:rPr>
          <w:rFonts w:ascii="Arial" w:hAnsi="Arial" w:cs="Arial"/>
          <w:sz w:val="22"/>
        </w:rPr>
        <w:t>independent assessment of the containment levels</w:t>
      </w:r>
      <w:r w:rsidRPr="00326942">
        <w:rPr>
          <w:rFonts w:ascii="Arial" w:hAnsi="Arial"/>
          <w:sz w:val="22"/>
        </w:rPr>
        <w:t xml:space="preserve"> required by the</w:t>
      </w:r>
      <w:r w:rsidRPr="00326942">
        <w:rPr>
          <w:rFonts w:ascii="Arial" w:hAnsi="Arial" w:cs="Arial"/>
          <w:sz w:val="22"/>
        </w:rPr>
        <w:t> NIH Guidelines for the proposed research;</w:t>
      </w:r>
    </w:p>
    <w:p w14:paraId="6EC2DFD1" w14:textId="06481492" w:rsidR="00B83BA1" w:rsidRPr="00326942" w:rsidRDefault="00B83BA1" w:rsidP="00393802">
      <w:pPr>
        <w:pStyle w:val="ListParagraph"/>
        <w:numPr>
          <w:ilvl w:val="0"/>
          <w:numId w:val="9"/>
        </w:numPr>
        <w:ind w:left="1080"/>
        <w:rPr>
          <w:rFonts w:ascii="Arial" w:hAnsi="Arial" w:cs="Arial"/>
          <w:sz w:val="22"/>
        </w:rPr>
      </w:pPr>
      <w:r w:rsidRPr="00326942">
        <w:rPr>
          <w:rFonts w:ascii="Arial" w:hAnsi="Arial" w:cs="Arial"/>
          <w:sz w:val="22"/>
        </w:rPr>
        <w:t>assessment of the facilities, procedures, practices, and training and expertise of personnel involved in r</w:t>
      </w:r>
      <w:r w:rsidR="00671689" w:rsidRPr="00326942">
        <w:rPr>
          <w:rFonts w:ascii="Arial" w:hAnsi="Arial" w:cs="Arial"/>
          <w:sz w:val="22"/>
        </w:rPr>
        <w:t>/s</w:t>
      </w:r>
      <w:r w:rsidRPr="00326942">
        <w:rPr>
          <w:rFonts w:ascii="Arial" w:hAnsi="Arial" w:cs="Arial"/>
          <w:sz w:val="22"/>
        </w:rPr>
        <w:t xml:space="preserve"> DNA research; </w:t>
      </w:r>
    </w:p>
    <w:p w14:paraId="451156ED" w14:textId="77777777" w:rsidR="00B83BA1" w:rsidRPr="00326942" w:rsidRDefault="00B83BA1" w:rsidP="00393802">
      <w:pPr>
        <w:pStyle w:val="ListParagraph"/>
        <w:numPr>
          <w:ilvl w:val="0"/>
          <w:numId w:val="9"/>
        </w:numPr>
        <w:ind w:left="1080"/>
        <w:rPr>
          <w:rFonts w:ascii="Arial" w:hAnsi="Arial" w:cs="Arial"/>
          <w:sz w:val="22"/>
        </w:rPr>
      </w:pPr>
      <w:r w:rsidRPr="00326942">
        <w:rPr>
          <w:rFonts w:ascii="Arial" w:hAnsi="Arial" w:cs="Arial"/>
          <w:sz w:val="22"/>
        </w:rPr>
        <w:t xml:space="preserve">implementing appropriate measures with the goal of ensuring compliance with all surveillance, data reporting, and adverse event reporting requirements set forth in the NIH Guidelines; and </w:t>
      </w:r>
    </w:p>
    <w:p w14:paraId="4540A1A2" w14:textId="77777777" w:rsidR="00B83BA1" w:rsidRPr="00326942" w:rsidRDefault="00B83BA1" w:rsidP="00393802">
      <w:pPr>
        <w:pStyle w:val="ListParagraph"/>
        <w:numPr>
          <w:ilvl w:val="0"/>
          <w:numId w:val="9"/>
        </w:numPr>
        <w:ind w:left="1080"/>
        <w:rPr>
          <w:rFonts w:ascii="Arial" w:eastAsia="Times New Roman" w:hAnsi="Arial" w:cs="Arial"/>
          <w:sz w:val="22"/>
        </w:rPr>
      </w:pPr>
      <w:r w:rsidRPr="00326942">
        <w:rPr>
          <w:rFonts w:ascii="Arial" w:hAnsi="Arial" w:cs="Arial"/>
          <w:sz w:val="22"/>
        </w:rPr>
        <w:t xml:space="preserve">implementing appropriate measures with the goal of ensuring that the research does not involve human subjects in gene transfer trials as the IBC will not approve this research at this time. </w:t>
      </w:r>
      <w:r w:rsidRPr="00326942">
        <w:rPr>
          <w:rFonts w:ascii="Arial" w:eastAsia="Times New Roman" w:hAnsi="Arial" w:cs="Arial"/>
          <w:sz w:val="22"/>
        </w:rPr>
        <w:t xml:space="preserve"> </w:t>
      </w:r>
    </w:p>
    <w:p w14:paraId="5B858E07" w14:textId="77777777" w:rsidR="007C7583" w:rsidRPr="00326942" w:rsidRDefault="007C7583" w:rsidP="007C7583">
      <w:pPr>
        <w:rPr>
          <w:rFonts w:ascii="Arial" w:eastAsia="Times New Roman" w:hAnsi="Arial" w:cs="Arial"/>
          <w:sz w:val="22"/>
        </w:rPr>
      </w:pPr>
    </w:p>
    <w:p w14:paraId="2DA69C01" w14:textId="4126EEA1" w:rsidR="009B51CA" w:rsidRPr="00326942" w:rsidRDefault="009B51CA" w:rsidP="00F70B22">
      <w:pPr>
        <w:rPr>
          <w:rFonts w:ascii="Arial" w:hAnsi="Arial" w:cs="Arial"/>
          <w:sz w:val="22"/>
        </w:rPr>
      </w:pPr>
      <w:r w:rsidRPr="00326942">
        <w:rPr>
          <w:rFonts w:ascii="Arial" w:hAnsi="Arial"/>
          <w:sz w:val="22"/>
        </w:rPr>
        <w:t xml:space="preserve">The </w:t>
      </w:r>
      <w:r w:rsidRPr="00326942">
        <w:rPr>
          <w:rFonts w:ascii="Arial" w:hAnsi="Arial" w:cs="Arial"/>
          <w:sz w:val="22"/>
        </w:rPr>
        <w:t xml:space="preserve">NIH Guidelines require that the </w:t>
      </w:r>
      <w:r w:rsidRPr="00326942">
        <w:rPr>
          <w:rFonts w:ascii="Arial" w:hAnsi="Arial"/>
          <w:sz w:val="22"/>
        </w:rPr>
        <w:t xml:space="preserve">IBC </w:t>
      </w:r>
      <w:r w:rsidRPr="00326942">
        <w:rPr>
          <w:rFonts w:ascii="Arial" w:hAnsi="Arial" w:cs="Arial"/>
          <w:sz w:val="22"/>
        </w:rPr>
        <w:t xml:space="preserve">perform continuing review of all ongoing activities with </w:t>
      </w:r>
      <w:r w:rsidR="002C04E2" w:rsidRPr="00326942">
        <w:rPr>
          <w:rFonts w:ascii="Arial" w:hAnsi="Arial" w:cs="Arial"/>
          <w:sz w:val="22"/>
        </w:rPr>
        <w:t xml:space="preserve">r/s </w:t>
      </w:r>
      <w:r w:rsidRPr="00326942">
        <w:rPr>
          <w:rFonts w:ascii="Arial" w:hAnsi="Arial" w:cs="Arial"/>
          <w:sz w:val="22"/>
        </w:rPr>
        <w:t xml:space="preserve">DNA approved by the IBC. It is the </w:t>
      </w:r>
      <w:r w:rsidR="00F319F1">
        <w:rPr>
          <w:rFonts w:ascii="Arial" w:hAnsi="Arial" w:cs="Arial"/>
          <w:sz w:val="22"/>
        </w:rPr>
        <w:t>PI</w:t>
      </w:r>
      <w:r w:rsidRPr="00326942">
        <w:rPr>
          <w:rFonts w:ascii="Arial" w:hAnsi="Arial" w:cs="Arial"/>
          <w:sz w:val="22"/>
        </w:rPr>
        <w:t xml:space="preserve">’s responsibility to initiate the request for continuation, which must include a summary of the protocol and a status report on the progress </w:t>
      </w:r>
      <w:r w:rsidRPr="00326942">
        <w:rPr>
          <w:rFonts w:ascii="Arial" w:hAnsi="Arial"/>
          <w:sz w:val="22"/>
        </w:rPr>
        <w:t xml:space="preserve">to </w:t>
      </w:r>
      <w:r w:rsidRPr="00326942">
        <w:rPr>
          <w:rFonts w:ascii="Arial" w:hAnsi="Arial" w:cs="Arial"/>
          <w:sz w:val="22"/>
        </w:rPr>
        <w:t xml:space="preserve">date. The continuing review of activities with recombinant DNA will be </w:t>
      </w:r>
      <w:r w:rsidRPr="00326942">
        <w:rPr>
          <w:rFonts w:ascii="Arial" w:hAnsi="Arial"/>
          <w:sz w:val="22"/>
        </w:rPr>
        <w:t xml:space="preserve">conducted in </w:t>
      </w:r>
      <w:r w:rsidRPr="00326942">
        <w:rPr>
          <w:rFonts w:ascii="Arial" w:hAnsi="Arial" w:cs="Arial"/>
          <w:sz w:val="22"/>
        </w:rPr>
        <w:t>the same manner as the initial review of the protocol.</w:t>
      </w:r>
    </w:p>
    <w:p w14:paraId="6BBB96B2" w14:textId="77777777" w:rsidR="009B51CA" w:rsidRPr="00326942" w:rsidRDefault="009B51CA" w:rsidP="00F70B22">
      <w:pPr>
        <w:rPr>
          <w:rFonts w:ascii="Arial" w:eastAsia="Times New Roman" w:hAnsi="Arial" w:cs="Arial"/>
          <w:sz w:val="22"/>
        </w:rPr>
      </w:pPr>
    </w:p>
    <w:p w14:paraId="16911DAF" w14:textId="29A15ADB" w:rsidR="00F70B22" w:rsidRPr="00326942" w:rsidRDefault="00DE4B32" w:rsidP="002546B6">
      <w:pPr>
        <w:pStyle w:val="ListParagraph"/>
        <w:numPr>
          <w:ilvl w:val="0"/>
          <w:numId w:val="11"/>
        </w:numPr>
        <w:rPr>
          <w:rFonts w:ascii="Arial" w:eastAsia="Times New Roman" w:hAnsi="Arial" w:cs="Arial"/>
          <w:sz w:val="22"/>
        </w:rPr>
      </w:pPr>
      <w:r w:rsidRPr="00326942">
        <w:rPr>
          <w:rFonts w:ascii="Arial" w:eastAsia="Times New Roman" w:hAnsi="Arial" w:cs="Arial"/>
          <w:sz w:val="22"/>
        </w:rPr>
        <w:t>Appeal of IBC Determination</w:t>
      </w:r>
    </w:p>
    <w:p w14:paraId="582C6F28" w14:textId="77777777" w:rsidR="00DE4B32" w:rsidRPr="00326942" w:rsidRDefault="00DE4B32" w:rsidP="00F70B22">
      <w:pPr>
        <w:rPr>
          <w:rFonts w:ascii="Arial" w:eastAsia="Times New Roman" w:hAnsi="Arial" w:cs="Arial"/>
          <w:sz w:val="22"/>
        </w:rPr>
      </w:pPr>
    </w:p>
    <w:p w14:paraId="3BB12E4B" w14:textId="0D9D7640" w:rsidR="000C7027" w:rsidRPr="00326942" w:rsidRDefault="000C7027" w:rsidP="00F70B22">
      <w:pPr>
        <w:rPr>
          <w:rFonts w:ascii="Arial" w:eastAsia="Times New Roman" w:hAnsi="Arial" w:cs="Arial"/>
          <w:sz w:val="22"/>
        </w:rPr>
      </w:pPr>
      <w:r w:rsidRPr="00326942">
        <w:rPr>
          <w:rFonts w:ascii="Arial" w:eastAsia="Times New Roman" w:hAnsi="Arial" w:cs="Arial"/>
          <w:sz w:val="22"/>
        </w:rPr>
        <w:t xml:space="preserve">The IBC does not have to approve any protocol. </w:t>
      </w:r>
      <w:r w:rsidR="00DE4B32" w:rsidRPr="00326942">
        <w:rPr>
          <w:rFonts w:ascii="Arial" w:eastAsia="Times New Roman" w:hAnsi="Arial" w:cs="Arial"/>
          <w:sz w:val="22"/>
        </w:rPr>
        <w:t>The PI will be notified in the event a protocol is</w:t>
      </w:r>
      <w:r w:rsidR="00DE4B32" w:rsidRPr="00326942">
        <w:rPr>
          <w:rFonts w:ascii="Arial" w:hAnsi="Arial"/>
          <w:sz w:val="22"/>
        </w:rPr>
        <w:t xml:space="preserve"> not approved by the IBC</w:t>
      </w:r>
      <w:r w:rsidR="00DE4B32" w:rsidRPr="00326942">
        <w:rPr>
          <w:rFonts w:ascii="Arial" w:eastAsia="Times New Roman" w:hAnsi="Arial" w:cs="Arial"/>
          <w:sz w:val="22"/>
        </w:rPr>
        <w:t>. Upon notification, the PI may modify and resubmit the protocol</w:t>
      </w:r>
      <w:r w:rsidRPr="00326942">
        <w:rPr>
          <w:rFonts w:ascii="Arial" w:eastAsia="Times New Roman" w:hAnsi="Arial" w:cs="Arial"/>
          <w:sz w:val="22"/>
        </w:rPr>
        <w:t xml:space="preserve">. All notifications will be handled by the Office of Research Administration. </w:t>
      </w:r>
    </w:p>
    <w:p w14:paraId="1749C825" w14:textId="77777777" w:rsidR="000C7027" w:rsidRPr="00326942" w:rsidRDefault="000C7027" w:rsidP="00F70B22">
      <w:pPr>
        <w:rPr>
          <w:rFonts w:ascii="Arial" w:eastAsia="Times New Roman" w:hAnsi="Arial" w:cs="Arial"/>
          <w:sz w:val="22"/>
        </w:rPr>
      </w:pPr>
    </w:p>
    <w:p w14:paraId="048FDF34" w14:textId="26202740" w:rsidR="00616E29" w:rsidRPr="00326942" w:rsidRDefault="009B51CA" w:rsidP="00326942">
      <w:pPr>
        <w:rPr>
          <w:rFonts w:ascii="Arial" w:hAnsi="Arial"/>
          <w:sz w:val="22"/>
        </w:rPr>
      </w:pPr>
      <w:r w:rsidRPr="00326942">
        <w:rPr>
          <w:rFonts w:ascii="Arial" w:eastAsia="Times New Roman" w:hAnsi="Arial" w:cs="Arial"/>
          <w:sz w:val="22"/>
        </w:rPr>
        <w:t>The IBC may terminate or suspend research determined not compliant with NIH guidelines and WCU IBC requirements.</w:t>
      </w:r>
      <w:r w:rsidRPr="00326942">
        <w:rPr>
          <w:rFonts w:ascii="Arial" w:hAnsi="Arial"/>
          <w:sz w:val="22"/>
        </w:rPr>
        <w:t xml:space="preserve"> </w:t>
      </w:r>
      <w:r w:rsidR="000C7027" w:rsidRPr="00326942">
        <w:rPr>
          <w:rFonts w:ascii="Arial" w:hAnsi="Arial"/>
          <w:sz w:val="22"/>
        </w:rPr>
        <w:t xml:space="preserve">The PI may appeal </w:t>
      </w:r>
      <w:r w:rsidR="000C7027" w:rsidRPr="00326942">
        <w:rPr>
          <w:rFonts w:ascii="Arial" w:eastAsia="Times New Roman" w:hAnsi="Arial" w:cs="Arial"/>
          <w:sz w:val="22"/>
        </w:rPr>
        <w:t>an IBC determination of</w:t>
      </w:r>
      <w:r w:rsidR="000C7027" w:rsidRPr="00326942">
        <w:rPr>
          <w:rFonts w:ascii="Arial" w:hAnsi="Arial"/>
          <w:sz w:val="22"/>
        </w:rPr>
        <w:t xml:space="preserve"> suspension</w:t>
      </w:r>
      <w:r w:rsidR="000C7027" w:rsidRPr="00326942">
        <w:rPr>
          <w:rFonts w:ascii="Arial" w:eastAsia="Times New Roman" w:hAnsi="Arial" w:cs="Arial"/>
          <w:sz w:val="22"/>
        </w:rPr>
        <w:t>, disapproval,</w:t>
      </w:r>
      <w:r w:rsidR="000C7027" w:rsidRPr="00326942">
        <w:rPr>
          <w:rFonts w:ascii="Arial" w:hAnsi="Arial"/>
          <w:sz w:val="22"/>
        </w:rPr>
        <w:t xml:space="preserve"> or termination </w:t>
      </w:r>
      <w:r w:rsidR="000C7027" w:rsidRPr="00326942">
        <w:rPr>
          <w:rFonts w:ascii="Arial" w:eastAsia="Times New Roman" w:hAnsi="Arial" w:cs="Arial"/>
          <w:sz w:val="22"/>
        </w:rPr>
        <w:t>by sending a letter to the Chief Research Officer</w:t>
      </w:r>
      <w:r w:rsidR="008303DB" w:rsidRPr="00326942">
        <w:rPr>
          <w:rFonts w:ascii="Arial" w:eastAsia="Times New Roman" w:hAnsi="Arial" w:cs="Arial"/>
          <w:sz w:val="22"/>
        </w:rPr>
        <w:t xml:space="preserve"> (CRO)</w:t>
      </w:r>
      <w:r w:rsidR="000C7027" w:rsidRPr="00326942">
        <w:rPr>
          <w:rFonts w:ascii="Arial" w:eastAsia="Times New Roman" w:hAnsi="Arial" w:cs="Arial"/>
          <w:sz w:val="22"/>
        </w:rPr>
        <w:t xml:space="preserve"> in the Office of Research Administration. The CRO shall request to convene the IBC for </w:t>
      </w:r>
      <w:r w:rsidR="008303DB" w:rsidRPr="00326942">
        <w:rPr>
          <w:rFonts w:ascii="Arial" w:eastAsia="Times New Roman" w:hAnsi="Arial" w:cs="Arial"/>
          <w:sz w:val="22"/>
        </w:rPr>
        <w:t>a</w:t>
      </w:r>
      <w:r w:rsidR="000C7027" w:rsidRPr="00326942">
        <w:rPr>
          <w:rFonts w:ascii="Arial" w:eastAsia="Times New Roman" w:hAnsi="Arial" w:cs="Arial"/>
          <w:sz w:val="22"/>
        </w:rPr>
        <w:t xml:space="preserve"> hearing.</w:t>
      </w:r>
      <w:r w:rsidR="000C7027" w:rsidRPr="00326942">
        <w:rPr>
          <w:rFonts w:ascii="Arial" w:hAnsi="Arial"/>
          <w:sz w:val="22"/>
        </w:rPr>
        <w:t xml:space="preserve"> The hearing will allow relevant discussion, documentation, and witnesses on behalf of the investigator. </w:t>
      </w:r>
      <w:r w:rsidR="000C7027" w:rsidRPr="00326942">
        <w:rPr>
          <w:rFonts w:ascii="Arial" w:eastAsia="Times New Roman" w:hAnsi="Arial" w:cs="Arial"/>
          <w:sz w:val="22"/>
        </w:rPr>
        <w:t>The</w:t>
      </w:r>
      <w:r w:rsidR="000C7027" w:rsidRPr="00326942">
        <w:rPr>
          <w:rFonts w:ascii="Arial" w:hAnsi="Arial"/>
          <w:sz w:val="22"/>
        </w:rPr>
        <w:t xml:space="preserve"> IBC </w:t>
      </w:r>
      <w:r w:rsidR="000C7027" w:rsidRPr="00326942">
        <w:rPr>
          <w:rFonts w:ascii="Arial" w:eastAsia="Times New Roman" w:hAnsi="Arial" w:cs="Arial"/>
          <w:sz w:val="22"/>
        </w:rPr>
        <w:t>will</w:t>
      </w:r>
      <w:r w:rsidR="000C7027" w:rsidRPr="00326942">
        <w:rPr>
          <w:rFonts w:ascii="Arial" w:hAnsi="Arial"/>
          <w:sz w:val="22"/>
        </w:rPr>
        <w:t xml:space="preserve"> vote to sustain or change its original recommendation.</w:t>
      </w:r>
      <w:r w:rsidR="000C7027" w:rsidRPr="00326942">
        <w:rPr>
          <w:rFonts w:ascii="Arial" w:eastAsia="Times New Roman" w:hAnsi="Arial" w:cs="Arial"/>
          <w:sz w:val="22"/>
        </w:rPr>
        <w:t xml:space="preserve">   </w:t>
      </w:r>
    </w:p>
    <w:p w14:paraId="1E72845E" w14:textId="75AAA070" w:rsidR="00393802" w:rsidRPr="00326942" w:rsidRDefault="00393802" w:rsidP="00326942">
      <w:pPr>
        <w:spacing w:before="100" w:beforeAutospacing="1" w:after="100" w:afterAutospacing="1"/>
        <w:rPr>
          <w:rFonts w:ascii="Arial" w:hAnsi="Arial"/>
          <w:b/>
          <w:sz w:val="22"/>
        </w:rPr>
      </w:pPr>
      <w:r w:rsidRPr="00326942">
        <w:rPr>
          <w:rFonts w:ascii="Arial" w:hAnsi="Arial"/>
          <w:sz w:val="22"/>
        </w:rPr>
        <w:t xml:space="preserve">Should the IBC determine that either unethical behavior or </w:t>
      </w:r>
      <w:r w:rsidRPr="00326942">
        <w:rPr>
          <w:rFonts w:ascii="Arial" w:eastAsia="Times New Roman" w:hAnsi="Arial" w:cs="Arial"/>
          <w:sz w:val="22"/>
        </w:rPr>
        <w:t xml:space="preserve">research </w:t>
      </w:r>
      <w:r w:rsidRPr="00326942">
        <w:rPr>
          <w:rFonts w:ascii="Arial" w:hAnsi="Arial"/>
          <w:sz w:val="22"/>
        </w:rPr>
        <w:t xml:space="preserve">misconduct occurred, the Chairperson will initiate action as outlined in </w:t>
      </w:r>
      <w:r w:rsidRPr="00326942">
        <w:rPr>
          <w:rFonts w:ascii="Arial" w:eastAsia="Times New Roman" w:hAnsi="Arial" w:cs="Arial"/>
          <w:sz w:val="22"/>
        </w:rPr>
        <w:t>WCU</w:t>
      </w:r>
      <w:r w:rsidRPr="00326942">
        <w:rPr>
          <w:rFonts w:ascii="Arial" w:hAnsi="Arial"/>
          <w:sz w:val="22"/>
        </w:rPr>
        <w:t xml:space="preserve"> Policy </w:t>
      </w:r>
      <w:r w:rsidRPr="00326942">
        <w:rPr>
          <w:rFonts w:ascii="Arial" w:eastAsia="Times New Roman" w:hAnsi="Arial" w:cs="Arial"/>
          <w:sz w:val="22"/>
        </w:rPr>
        <w:t>56,</w:t>
      </w:r>
      <w:r w:rsidRPr="00326942">
        <w:rPr>
          <w:rFonts w:ascii="Arial" w:hAnsi="Arial"/>
          <w:sz w:val="22"/>
        </w:rPr>
        <w:t xml:space="preserve"> Ethics in Research.</w:t>
      </w:r>
    </w:p>
    <w:p w14:paraId="2A4CBFA6" w14:textId="4D8C35F1" w:rsidR="00C27294" w:rsidRPr="00326942" w:rsidRDefault="00F539C5" w:rsidP="00F70B22">
      <w:pPr>
        <w:spacing w:before="100" w:beforeAutospacing="1" w:after="100" w:afterAutospacing="1"/>
        <w:rPr>
          <w:rFonts w:ascii="Arial" w:eastAsia="Times New Roman" w:hAnsi="Arial" w:cs="Arial"/>
          <w:b/>
          <w:bCs/>
          <w:sz w:val="22"/>
        </w:rPr>
      </w:pPr>
      <w:r w:rsidRPr="00326942">
        <w:rPr>
          <w:rFonts w:ascii="Arial" w:eastAsia="Times New Roman" w:hAnsi="Arial" w:cs="Arial"/>
          <w:b/>
          <w:bCs/>
          <w:sz w:val="22"/>
        </w:rPr>
        <w:t>V. POLICY REVIEW</w:t>
      </w:r>
    </w:p>
    <w:p w14:paraId="389F2230" w14:textId="371F312A" w:rsidR="005452C8" w:rsidRPr="00326942" w:rsidRDefault="005452C8" w:rsidP="00F70B22">
      <w:pPr>
        <w:spacing w:before="100" w:beforeAutospacing="1" w:after="100" w:afterAutospacing="1"/>
        <w:rPr>
          <w:rFonts w:ascii="Arial" w:eastAsia="Times New Roman" w:hAnsi="Arial" w:cs="Arial"/>
          <w:sz w:val="22"/>
        </w:rPr>
      </w:pPr>
      <w:r w:rsidRPr="00326942">
        <w:rPr>
          <w:rFonts w:ascii="Arial" w:eastAsia="Times New Roman" w:hAnsi="Arial" w:cs="Arial"/>
          <w:sz w:val="22"/>
        </w:rPr>
        <w:t>This policy shall be reviewed and revised as necessary every two (2) years. </w:t>
      </w:r>
    </w:p>
    <w:p w14:paraId="5D61114E" w14:textId="16FE2DC1" w:rsidR="00C27294" w:rsidRPr="00326942" w:rsidRDefault="00F539C5" w:rsidP="00F70B22">
      <w:pPr>
        <w:spacing w:before="100" w:beforeAutospacing="1" w:after="100" w:afterAutospacing="1"/>
        <w:rPr>
          <w:rFonts w:ascii="Arial" w:eastAsia="Times New Roman" w:hAnsi="Arial" w:cs="Arial"/>
          <w:b/>
          <w:bCs/>
          <w:sz w:val="22"/>
        </w:rPr>
      </w:pPr>
      <w:r w:rsidRPr="00326942">
        <w:rPr>
          <w:rFonts w:ascii="Arial" w:eastAsia="Times New Roman" w:hAnsi="Arial" w:cs="Arial"/>
          <w:b/>
          <w:bCs/>
          <w:sz w:val="22"/>
        </w:rPr>
        <w:t>V</w:t>
      </w:r>
      <w:r w:rsidR="00657D45">
        <w:rPr>
          <w:rFonts w:ascii="Arial" w:eastAsia="Times New Roman" w:hAnsi="Arial" w:cs="Arial"/>
          <w:b/>
          <w:bCs/>
          <w:sz w:val="22"/>
        </w:rPr>
        <w:t>I</w:t>
      </w:r>
      <w:r w:rsidR="00A90924" w:rsidRPr="00326942">
        <w:rPr>
          <w:rFonts w:ascii="Arial" w:eastAsia="Times New Roman" w:hAnsi="Arial" w:cs="Arial"/>
          <w:b/>
          <w:bCs/>
          <w:sz w:val="22"/>
        </w:rPr>
        <w:t>. RELATED POLICIES AND RESOURCES</w:t>
      </w:r>
    </w:p>
    <w:p w14:paraId="6FE1BA8B" w14:textId="77777777" w:rsidR="00C27294" w:rsidRPr="00326942" w:rsidRDefault="00D27BD9" w:rsidP="00F70B22">
      <w:pPr>
        <w:spacing w:before="100" w:beforeAutospacing="1" w:after="100" w:afterAutospacing="1"/>
        <w:rPr>
          <w:rFonts w:ascii="Arial" w:eastAsia="Times New Roman" w:hAnsi="Arial" w:cs="Arial"/>
          <w:sz w:val="22"/>
        </w:rPr>
      </w:pPr>
      <w:hyperlink r:id="rId9" w:history="1">
        <w:r w:rsidR="00C27294" w:rsidRPr="00326942">
          <w:rPr>
            <w:rStyle w:val="Hyperlink"/>
            <w:rFonts w:ascii="Arial" w:eastAsia="Times New Roman" w:hAnsi="Arial" w:cs="Arial"/>
            <w:sz w:val="22"/>
          </w:rPr>
          <w:t>Request for Review Form</w:t>
        </w:r>
      </w:hyperlink>
    </w:p>
    <w:p w14:paraId="41BE6533" w14:textId="77777777" w:rsidR="00C27294" w:rsidRPr="00326942" w:rsidRDefault="00D27BD9" w:rsidP="00F70B22">
      <w:pPr>
        <w:spacing w:before="100" w:beforeAutospacing="1" w:after="100" w:afterAutospacing="1"/>
        <w:rPr>
          <w:rFonts w:ascii="Arial" w:eastAsia="Times New Roman" w:hAnsi="Arial" w:cs="Arial"/>
          <w:sz w:val="22"/>
        </w:rPr>
      </w:pPr>
      <w:hyperlink r:id="rId10" w:history="1">
        <w:r w:rsidR="00C27294" w:rsidRPr="00326942">
          <w:rPr>
            <w:rStyle w:val="Hyperlink"/>
            <w:rFonts w:ascii="Arial" w:eastAsia="Times New Roman" w:hAnsi="Arial" w:cs="Arial"/>
            <w:sz w:val="22"/>
          </w:rPr>
          <w:t>Request for Modification or Continuing Review</w:t>
        </w:r>
      </w:hyperlink>
    </w:p>
    <w:p w14:paraId="403D355C" w14:textId="77777777" w:rsidR="00C27294" w:rsidRPr="00326942" w:rsidRDefault="00D27BD9" w:rsidP="00F70B22">
      <w:pPr>
        <w:spacing w:before="100" w:beforeAutospacing="1" w:after="100" w:afterAutospacing="1"/>
        <w:rPr>
          <w:rFonts w:ascii="Arial" w:eastAsia="Times New Roman" w:hAnsi="Arial" w:cs="Arial"/>
          <w:sz w:val="22"/>
        </w:rPr>
      </w:pPr>
      <w:hyperlink r:id="rId11" w:history="1">
        <w:r w:rsidR="00C27294" w:rsidRPr="00326942">
          <w:rPr>
            <w:rStyle w:val="Hyperlink"/>
            <w:rFonts w:ascii="Arial" w:eastAsia="Times New Roman" w:hAnsi="Arial" w:cs="Arial"/>
            <w:sz w:val="22"/>
          </w:rPr>
          <w:t>NIH Citation Table</w:t>
        </w:r>
      </w:hyperlink>
    </w:p>
    <w:p w14:paraId="0734F07A" w14:textId="77777777" w:rsidR="00C27294" w:rsidRPr="00326942" w:rsidRDefault="00D27BD9" w:rsidP="00326942">
      <w:pPr>
        <w:spacing w:before="100" w:beforeAutospacing="1" w:after="100" w:afterAutospacing="1"/>
        <w:rPr>
          <w:rFonts w:ascii="Arial" w:hAnsi="Arial"/>
          <w:sz w:val="22"/>
        </w:rPr>
      </w:pPr>
      <w:hyperlink r:id="rId12" w:history="1">
        <w:r w:rsidR="00C27294" w:rsidRPr="00326942">
          <w:rPr>
            <w:rStyle w:val="Hyperlink"/>
            <w:rFonts w:ascii="Arial" w:eastAsia="Times New Roman" w:hAnsi="Arial" w:cs="Arial"/>
            <w:sz w:val="22"/>
          </w:rPr>
          <w:t>Training Checklist</w:t>
        </w:r>
      </w:hyperlink>
    </w:p>
    <w:sectPr w:rsidR="00C27294" w:rsidRPr="00326942" w:rsidSect="00326942">
      <w:headerReference w:type="even" r:id="rId13"/>
      <w:headerReference w:type="default" r:id="rId14"/>
      <w:footerReference w:type="even" r:id="rId15"/>
      <w:footerReference w:type="default" r:id="rId16"/>
      <w:headerReference w:type="first" r:id="rId17"/>
      <w:footerReference w:type="first" r:id="rId18"/>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E87DC" w14:textId="77777777" w:rsidR="00D27BD9" w:rsidRDefault="00D27BD9" w:rsidP="000977A3">
      <w:r>
        <w:separator/>
      </w:r>
    </w:p>
  </w:endnote>
  <w:endnote w:type="continuationSeparator" w:id="0">
    <w:p w14:paraId="1628C82A" w14:textId="77777777" w:rsidR="00D27BD9" w:rsidRDefault="00D27BD9" w:rsidP="000977A3">
      <w:r>
        <w:continuationSeparator/>
      </w:r>
    </w:p>
  </w:endnote>
  <w:endnote w:type="continuationNotice" w:id="1">
    <w:p w14:paraId="7D47E244" w14:textId="77777777" w:rsidR="00D27BD9" w:rsidRDefault="00D27B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41385" w14:textId="77777777" w:rsidR="005A42FD" w:rsidRDefault="005A42FD" w:rsidP="003269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76858"/>
      <w:docPartObj>
        <w:docPartGallery w:val="Page Numbers (Bottom of Page)"/>
        <w:docPartUnique/>
      </w:docPartObj>
    </w:sdtPr>
    <w:sdtEndPr/>
    <w:sdtContent>
      <w:p w14:paraId="2BABABA1" w14:textId="63AF5C16" w:rsidR="008907CF" w:rsidRDefault="002719F1">
        <w:pPr>
          <w:pStyle w:val="Footer"/>
          <w:jc w:val="center"/>
        </w:pPr>
        <w:r>
          <w:fldChar w:fldCharType="begin"/>
        </w:r>
        <w:r w:rsidR="00D764DA">
          <w:instrText xml:space="preserve"> PAGE   \* MERGEFORMAT </w:instrText>
        </w:r>
        <w:r>
          <w:fldChar w:fldCharType="separate"/>
        </w:r>
        <w:r w:rsidR="00671689">
          <w:rPr>
            <w:noProof/>
          </w:rPr>
          <w:t>1</w:t>
        </w:r>
        <w:r>
          <w:rPr>
            <w:noProof/>
          </w:rPr>
          <w:fldChar w:fldCharType="end"/>
        </w:r>
      </w:p>
    </w:sdtContent>
  </w:sdt>
  <w:p w14:paraId="73E3F882" w14:textId="77777777" w:rsidR="008907CF" w:rsidRDefault="008907CF" w:rsidP="003269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D4CA7" w14:textId="77777777" w:rsidR="005A42FD" w:rsidRDefault="005A42FD" w:rsidP="00326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5CA71" w14:textId="77777777" w:rsidR="00D27BD9" w:rsidRDefault="00D27BD9" w:rsidP="000977A3">
      <w:r>
        <w:separator/>
      </w:r>
    </w:p>
  </w:footnote>
  <w:footnote w:type="continuationSeparator" w:id="0">
    <w:p w14:paraId="3FA60C9D" w14:textId="77777777" w:rsidR="00D27BD9" w:rsidRDefault="00D27BD9" w:rsidP="000977A3">
      <w:r>
        <w:continuationSeparator/>
      </w:r>
    </w:p>
  </w:footnote>
  <w:footnote w:type="continuationNotice" w:id="1">
    <w:p w14:paraId="6123030B" w14:textId="77777777" w:rsidR="00D27BD9" w:rsidRDefault="00D27B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A1329" w14:textId="77777777" w:rsidR="005A42FD" w:rsidRDefault="005A42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2D902" w14:textId="77777777" w:rsidR="008907CF" w:rsidRDefault="008907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247B8" w14:textId="77777777" w:rsidR="005A42FD" w:rsidRDefault="005A42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16777"/>
    <w:multiLevelType w:val="hybridMultilevel"/>
    <w:tmpl w:val="67B62D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56481"/>
    <w:multiLevelType w:val="hybridMultilevel"/>
    <w:tmpl w:val="99747C4C"/>
    <w:lvl w:ilvl="0" w:tplc="153E34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C18BD"/>
    <w:multiLevelType w:val="hybridMultilevel"/>
    <w:tmpl w:val="A58675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F474E"/>
    <w:multiLevelType w:val="hybridMultilevel"/>
    <w:tmpl w:val="6D444A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5843DB"/>
    <w:multiLevelType w:val="hybridMultilevel"/>
    <w:tmpl w:val="296A4D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B37393"/>
    <w:multiLevelType w:val="multilevel"/>
    <w:tmpl w:val="5FCC6B24"/>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31391F57"/>
    <w:multiLevelType w:val="multilevel"/>
    <w:tmpl w:val="2A521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3505BA"/>
    <w:multiLevelType w:val="hybridMultilevel"/>
    <w:tmpl w:val="79CCE3EC"/>
    <w:lvl w:ilvl="0" w:tplc="153E34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B05C39"/>
    <w:multiLevelType w:val="hybridMultilevel"/>
    <w:tmpl w:val="CC6E4B72"/>
    <w:lvl w:ilvl="0" w:tplc="472854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F01727"/>
    <w:multiLevelType w:val="multilevel"/>
    <w:tmpl w:val="29B8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8AE700E"/>
    <w:multiLevelType w:val="hybridMultilevel"/>
    <w:tmpl w:val="4EE2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1A0F7E"/>
    <w:multiLevelType w:val="hybridMultilevel"/>
    <w:tmpl w:val="81C02EBE"/>
    <w:lvl w:ilvl="0" w:tplc="153E34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0"/>
  </w:num>
  <w:num w:numId="4">
    <w:abstractNumId w:val="8"/>
  </w:num>
  <w:num w:numId="5">
    <w:abstractNumId w:val="1"/>
  </w:num>
  <w:num w:numId="6">
    <w:abstractNumId w:val="6"/>
  </w:num>
  <w:num w:numId="7">
    <w:abstractNumId w:val="11"/>
  </w:num>
  <w:num w:numId="8">
    <w:abstractNumId w:val="7"/>
  </w:num>
  <w:num w:numId="9">
    <w:abstractNumId w:val="3"/>
  </w:num>
  <w:num w:numId="10">
    <w:abstractNumId w:val="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1C7"/>
    <w:rsid w:val="00003B8F"/>
    <w:rsid w:val="0000455A"/>
    <w:rsid w:val="000121E3"/>
    <w:rsid w:val="00013637"/>
    <w:rsid w:val="0001441A"/>
    <w:rsid w:val="00020F19"/>
    <w:rsid w:val="0004606C"/>
    <w:rsid w:val="00050F24"/>
    <w:rsid w:val="000657D0"/>
    <w:rsid w:val="00071F56"/>
    <w:rsid w:val="000749A8"/>
    <w:rsid w:val="00086283"/>
    <w:rsid w:val="000977A3"/>
    <w:rsid w:val="000B5250"/>
    <w:rsid w:val="000B575B"/>
    <w:rsid w:val="000B57C2"/>
    <w:rsid w:val="000C3BC6"/>
    <w:rsid w:val="000C7027"/>
    <w:rsid w:val="000E764A"/>
    <w:rsid w:val="0011284C"/>
    <w:rsid w:val="00161269"/>
    <w:rsid w:val="00161DE6"/>
    <w:rsid w:val="00164FA3"/>
    <w:rsid w:val="00165815"/>
    <w:rsid w:val="001658DB"/>
    <w:rsid w:val="00180269"/>
    <w:rsid w:val="0019648B"/>
    <w:rsid w:val="001B1AA8"/>
    <w:rsid w:val="001C421A"/>
    <w:rsid w:val="001C7258"/>
    <w:rsid w:val="001E521D"/>
    <w:rsid w:val="0022209B"/>
    <w:rsid w:val="002546B6"/>
    <w:rsid w:val="00257002"/>
    <w:rsid w:val="00271374"/>
    <w:rsid w:val="002719F1"/>
    <w:rsid w:val="00273EF7"/>
    <w:rsid w:val="0028321D"/>
    <w:rsid w:val="002A4E40"/>
    <w:rsid w:val="002C0087"/>
    <w:rsid w:val="002C04E2"/>
    <w:rsid w:val="00302B32"/>
    <w:rsid w:val="0031280D"/>
    <w:rsid w:val="00326942"/>
    <w:rsid w:val="00341528"/>
    <w:rsid w:val="00350EDB"/>
    <w:rsid w:val="003621C8"/>
    <w:rsid w:val="003649A0"/>
    <w:rsid w:val="00373E8C"/>
    <w:rsid w:val="00393802"/>
    <w:rsid w:val="00393DB2"/>
    <w:rsid w:val="003A01D4"/>
    <w:rsid w:val="003A156B"/>
    <w:rsid w:val="003C2BCB"/>
    <w:rsid w:val="003D3823"/>
    <w:rsid w:val="003E2968"/>
    <w:rsid w:val="003F0FC8"/>
    <w:rsid w:val="003F4A56"/>
    <w:rsid w:val="00400333"/>
    <w:rsid w:val="00406681"/>
    <w:rsid w:val="00406FBF"/>
    <w:rsid w:val="00410F24"/>
    <w:rsid w:val="00413360"/>
    <w:rsid w:val="00414E12"/>
    <w:rsid w:val="004223EF"/>
    <w:rsid w:val="00427C52"/>
    <w:rsid w:val="00440F31"/>
    <w:rsid w:val="004630F5"/>
    <w:rsid w:val="00475B0A"/>
    <w:rsid w:val="0048449D"/>
    <w:rsid w:val="004969C1"/>
    <w:rsid w:val="004A26D7"/>
    <w:rsid w:val="004A2975"/>
    <w:rsid w:val="004C068B"/>
    <w:rsid w:val="00500559"/>
    <w:rsid w:val="005040A2"/>
    <w:rsid w:val="005452C8"/>
    <w:rsid w:val="005527CB"/>
    <w:rsid w:val="00560263"/>
    <w:rsid w:val="0058159B"/>
    <w:rsid w:val="00594C94"/>
    <w:rsid w:val="005A42FD"/>
    <w:rsid w:val="005D0CCF"/>
    <w:rsid w:val="005D6173"/>
    <w:rsid w:val="005D6F17"/>
    <w:rsid w:val="005E00AF"/>
    <w:rsid w:val="005E5436"/>
    <w:rsid w:val="005F26F4"/>
    <w:rsid w:val="005F598E"/>
    <w:rsid w:val="006045BD"/>
    <w:rsid w:val="006070D5"/>
    <w:rsid w:val="00616E29"/>
    <w:rsid w:val="006252B0"/>
    <w:rsid w:val="00630B75"/>
    <w:rsid w:val="00631073"/>
    <w:rsid w:val="00641126"/>
    <w:rsid w:val="00642356"/>
    <w:rsid w:val="006423D7"/>
    <w:rsid w:val="006458BB"/>
    <w:rsid w:val="006532D7"/>
    <w:rsid w:val="00657D45"/>
    <w:rsid w:val="00671689"/>
    <w:rsid w:val="0068023D"/>
    <w:rsid w:val="00680F3F"/>
    <w:rsid w:val="0069010C"/>
    <w:rsid w:val="006D23B5"/>
    <w:rsid w:val="006D3DE9"/>
    <w:rsid w:val="006D54BA"/>
    <w:rsid w:val="006F0ACF"/>
    <w:rsid w:val="007323EB"/>
    <w:rsid w:val="00743448"/>
    <w:rsid w:val="00751B42"/>
    <w:rsid w:val="007562C5"/>
    <w:rsid w:val="00756405"/>
    <w:rsid w:val="007609E3"/>
    <w:rsid w:val="00785109"/>
    <w:rsid w:val="00786B4D"/>
    <w:rsid w:val="00787BCA"/>
    <w:rsid w:val="007910FC"/>
    <w:rsid w:val="00794E6A"/>
    <w:rsid w:val="007A13B0"/>
    <w:rsid w:val="007A744A"/>
    <w:rsid w:val="007B17E4"/>
    <w:rsid w:val="007C7583"/>
    <w:rsid w:val="007D17C4"/>
    <w:rsid w:val="007D7357"/>
    <w:rsid w:val="007E23AC"/>
    <w:rsid w:val="008252CA"/>
    <w:rsid w:val="008303DB"/>
    <w:rsid w:val="00841675"/>
    <w:rsid w:val="00851612"/>
    <w:rsid w:val="00860772"/>
    <w:rsid w:val="0086315F"/>
    <w:rsid w:val="00867F87"/>
    <w:rsid w:val="00870888"/>
    <w:rsid w:val="00873A25"/>
    <w:rsid w:val="00876E3B"/>
    <w:rsid w:val="00890430"/>
    <w:rsid w:val="008907CF"/>
    <w:rsid w:val="00892136"/>
    <w:rsid w:val="00894F37"/>
    <w:rsid w:val="008A17E4"/>
    <w:rsid w:val="008A2AFC"/>
    <w:rsid w:val="008B23D0"/>
    <w:rsid w:val="008C0DD4"/>
    <w:rsid w:val="008E1218"/>
    <w:rsid w:val="009174A7"/>
    <w:rsid w:val="009603C5"/>
    <w:rsid w:val="00961743"/>
    <w:rsid w:val="009625AD"/>
    <w:rsid w:val="00963CB8"/>
    <w:rsid w:val="009950BE"/>
    <w:rsid w:val="009A0239"/>
    <w:rsid w:val="009A7408"/>
    <w:rsid w:val="009B503D"/>
    <w:rsid w:val="009B51CA"/>
    <w:rsid w:val="009E03F1"/>
    <w:rsid w:val="009E0709"/>
    <w:rsid w:val="009E1A3D"/>
    <w:rsid w:val="009E7C37"/>
    <w:rsid w:val="009F2F59"/>
    <w:rsid w:val="00A06478"/>
    <w:rsid w:val="00A17924"/>
    <w:rsid w:val="00A23DFB"/>
    <w:rsid w:val="00A327CF"/>
    <w:rsid w:val="00A35F99"/>
    <w:rsid w:val="00A478B4"/>
    <w:rsid w:val="00A6209B"/>
    <w:rsid w:val="00A90924"/>
    <w:rsid w:val="00A924AB"/>
    <w:rsid w:val="00A9436B"/>
    <w:rsid w:val="00A95E93"/>
    <w:rsid w:val="00AA305E"/>
    <w:rsid w:val="00AB26FD"/>
    <w:rsid w:val="00AC26A5"/>
    <w:rsid w:val="00AC77A9"/>
    <w:rsid w:val="00AE4266"/>
    <w:rsid w:val="00AF1537"/>
    <w:rsid w:val="00AF44D2"/>
    <w:rsid w:val="00AF4524"/>
    <w:rsid w:val="00B15567"/>
    <w:rsid w:val="00B41DA2"/>
    <w:rsid w:val="00B50BF5"/>
    <w:rsid w:val="00B7012E"/>
    <w:rsid w:val="00B8029E"/>
    <w:rsid w:val="00B82F37"/>
    <w:rsid w:val="00B83BA1"/>
    <w:rsid w:val="00B85298"/>
    <w:rsid w:val="00BA1A2E"/>
    <w:rsid w:val="00BA1F0B"/>
    <w:rsid w:val="00BA674B"/>
    <w:rsid w:val="00BB57CF"/>
    <w:rsid w:val="00BC3AD2"/>
    <w:rsid w:val="00BD0C81"/>
    <w:rsid w:val="00BD1FD5"/>
    <w:rsid w:val="00BD7773"/>
    <w:rsid w:val="00BF54F3"/>
    <w:rsid w:val="00C13567"/>
    <w:rsid w:val="00C14B4C"/>
    <w:rsid w:val="00C16225"/>
    <w:rsid w:val="00C26F17"/>
    <w:rsid w:val="00C27294"/>
    <w:rsid w:val="00C37324"/>
    <w:rsid w:val="00C40947"/>
    <w:rsid w:val="00C424B3"/>
    <w:rsid w:val="00C53637"/>
    <w:rsid w:val="00C618AD"/>
    <w:rsid w:val="00C72F2E"/>
    <w:rsid w:val="00C73DD7"/>
    <w:rsid w:val="00C75F2B"/>
    <w:rsid w:val="00C82A95"/>
    <w:rsid w:val="00C873E4"/>
    <w:rsid w:val="00C92A0D"/>
    <w:rsid w:val="00CA5056"/>
    <w:rsid w:val="00CB101E"/>
    <w:rsid w:val="00CB73A2"/>
    <w:rsid w:val="00CF01C7"/>
    <w:rsid w:val="00D105D3"/>
    <w:rsid w:val="00D1214C"/>
    <w:rsid w:val="00D2627E"/>
    <w:rsid w:val="00D27BD9"/>
    <w:rsid w:val="00D31DBD"/>
    <w:rsid w:val="00D37B92"/>
    <w:rsid w:val="00D64E0E"/>
    <w:rsid w:val="00D744E4"/>
    <w:rsid w:val="00D764DA"/>
    <w:rsid w:val="00D80CFD"/>
    <w:rsid w:val="00D8155C"/>
    <w:rsid w:val="00D84865"/>
    <w:rsid w:val="00D92C06"/>
    <w:rsid w:val="00D93D0E"/>
    <w:rsid w:val="00DA30D0"/>
    <w:rsid w:val="00DB56BE"/>
    <w:rsid w:val="00DC438F"/>
    <w:rsid w:val="00DC7CD3"/>
    <w:rsid w:val="00DD0917"/>
    <w:rsid w:val="00DD7A8A"/>
    <w:rsid w:val="00DE4B32"/>
    <w:rsid w:val="00DF61F8"/>
    <w:rsid w:val="00E0364A"/>
    <w:rsid w:val="00E14F46"/>
    <w:rsid w:val="00E22CC1"/>
    <w:rsid w:val="00E25892"/>
    <w:rsid w:val="00E314DF"/>
    <w:rsid w:val="00E64D18"/>
    <w:rsid w:val="00EA026C"/>
    <w:rsid w:val="00EA5A94"/>
    <w:rsid w:val="00EB1F38"/>
    <w:rsid w:val="00EC001B"/>
    <w:rsid w:val="00ED105F"/>
    <w:rsid w:val="00F013B2"/>
    <w:rsid w:val="00F12DEA"/>
    <w:rsid w:val="00F319F1"/>
    <w:rsid w:val="00F46E78"/>
    <w:rsid w:val="00F539C5"/>
    <w:rsid w:val="00F64211"/>
    <w:rsid w:val="00F70B22"/>
    <w:rsid w:val="00F718CB"/>
    <w:rsid w:val="00F80F3B"/>
    <w:rsid w:val="00F822FD"/>
    <w:rsid w:val="00F911B3"/>
    <w:rsid w:val="00FA21D8"/>
    <w:rsid w:val="00FA5750"/>
    <w:rsid w:val="00FA7229"/>
    <w:rsid w:val="00FD6C04"/>
    <w:rsid w:val="00FE1503"/>
    <w:rsid w:val="00FF2232"/>
    <w:rsid w:val="00FF7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CB702"/>
  <w15:docId w15:val="{B663D661-8936-4C34-9A97-5126C25A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263"/>
  </w:style>
  <w:style w:type="paragraph" w:styleId="Heading1">
    <w:name w:val="heading 1"/>
    <w:basedOn w:val="Normal"/>
    <w:link w:val="Heading1Char"/>
    <w:uiPriority w:val="9"/>
    <w:qFormat/>
    <w:rsid w:val="00C26F1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26F1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26F1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7773"/>
    <w:rPr>
      <w:b/>
      <w:bCs/>
      <w:i w:val="0"/>
      <w:iCs w:val="0"/>
    </w:rPr>
  </w:style>
  <w:style w:type="character" w:customStyle="1" w:styleId="ht-6">
    <w:name w:val="ht-6"/>
    <w:basedOn w:val="DefaultParagraphFont"/>
    <w:rsid w:val="00BD7773"/>
  </w:style>
  <w:style w:type="character" w:customStyle="1" w:styleId="ht-7">
    <w:name w:val="ht-7"/>
    <w:basedOn w:val="DefaultParagraphFont"/>
    <w:rsid w:val="00BD7773"/>
  </w:style>
  <w:style w:type="paragraph" w:styleId="NormalWeb">
    <w:name w:val="Normal (Web)"/>
    <w:basedOn w:val="Normal"/>
    <w:uiPriority w:val="99"/>
    <w:semiHidden/>
    <w:unhideWhenUsed/>
    <w:rsid w:val="00C26F17"/>
    <w:pPr>
      <w:spacing w:before="100" w:beforeAutospacing="1" w:after="100" w:afterAutospacing="1"/>
    </w:pPr>
    <w:rPr>
      <w:rFonts w:ascii="Times New Roman" w:eastAsia="Times New Roman" w:hAnsi="Times New Roman" w:cs="Times New Roman"/>
      <w:szCs w:val="24"/>
    </w:rPr>
  </w:style>
  <w:style w:type="paragraph" w:styleId="Header">
    <w:name w:val="header"/>
    <w:basedOn w:val="Normal"/>
    <w:link w:val="HeaderChar"/>
    <w:uiPriority w:val="99"/>
    <w:unhideWhenUsed/>
    <w:rsid w:val="000977A3"/>
    <w:pPr>
      <w:tabs>
        <w:tab w:val="center" w:pos="4680"/>
        <w:tab w:val="right" w:pos="9360"/>
      </w:tabs>
    </w:pPr>
  </w:style>
  <w:style w:type="character" w:customStyle="1" w:styleId="HeaderChar">
    <w:name w:val="Header Char"/>
    <w:basedOn w:val="DefaultParagraphFont"/>
    <w:link w:val="Header"/>
    <w:uiPriority w:val="99"/>
    <w:rsid w:val="000977A3"/>
  </w:style>
  <w:style w:type="paragraph" w:styleId="Footer">
    <w:name w:val="footer"/>
    <w:basedOn w:val="Normal"/>
    <w:link w:val="FooterChar"/>
    <w:uiPriority w:val="99"/>
    <w:unhideWhenUsed/>
    <w:rsid w:val="000977A3"/>
    <w:pPr>
      <w:tabs>
        <w:tab w:val="center" w:pos="4680"/>
        <w:tab w:val="right" w:pos="9360"/>
      </w:tabs>
    </w:pPr>
  </w:style>
  <w:style w:type="character" w:customStyle="1" w:styleId="FooterChar">
    <w:name w:val="Footer Char"/>
    <w:basedOn w:val="DefaultParagraphFont"/>
    <w:link w:val="Footer"/>
    <w:uiPriority w:val="99"/>
    <w:rsid w:val="000977A3"/>
  </w:style>
  <w:style w:type="character" w:styleId="Hyperlink">
    <w:name w:val="Hyperlink"/>
    <w:basedOn w:val="DefaultParagraphFont"/>
    <w:uiPriority w:val="99"/>
    <w:unhideWhenUsed/>
    <w:rsid w:val="0022209B"/>
    <w:rPr>
      <w:color w:val="0000FF" w:themeColor="hyperlink"/>
      <w:u w:val="single"/>
    </w:rPr>
  </w:style>
  <w:style w:type="paragraph" w:styleId="BalloonText">
    <w:name w:val="Balloon Text"/>
    <w:basedOn w:val="Normal"/>
    <w:link w:val="BalloonTextChar"/>
    <w:uiPriority w:val="99"/>
    <w:semiHidden/>
    <w:unhideWhenUsed/>
    <w:rsid w:val="00D8155C"/>
    <w:rPr>
      <w:rFonts w:ascii="Tahoma" w:hAnsi="Tahoma" w:cs="Tahoma"/>
      <w:sz w:val="16"/>
      <w:szCs w:val="16"/>
    </w:rPr>
  </w:style>
  <w:style w:type="character" w:customStyle="1" w:styleId="BalloonTextChar">
    <w:name w:val="Balloon Text Char"/>
    <w:basedOn w:val="DefaultParagraphFont"/>
    <w:link w:val="BalloonText"/>
    <w:uiPriority w:val="99"/>
    <w:semiHidden/>
    <w:rsid w:val="00D8155C"/>
    <w:rPr>
      <w:rFonts w:ascii="Tahoma" w:hAnsi="Tahoma" w:cs="Tahoma"/>
      <w:sz w:val="16"/>
      <w:szCs w:val="16"/>
    </w:rPr>
  </w:style>
  <w:style w:type="paragraph" w:styleId="ListParagraph">
    <w:name w:val="List Paragraph"/>
    <w:basedOn w:val="Normal"/>
    <w:uiPriority w:val="34"/>
    <w:qFormat/>
    <w:rsid w:val="00870888"/>
    <w:pPr>
      <w:ind w:left="720"/>
      <w:contextualSpacing/>
    </w:pPr>
  </w:style>
  <w:style w:type="character" w:styleId="Mention">
    <w:name w:val="Mention"/>
    <w:basedOn w:val="DefaultParagraphFont"/>
    <w:uiPriority w:val="99"/>
    <w:semiHidden/>
    <w:unhideWhenUsed/>
    <w:rsid w:val="00C72F2E"/>
    <w:rPr>
      <w:color w:val="2B579A"/>
      <w:shd w:val="clear" w:color="auto" w:fill="E6E6E6"/>
    </w:rPr>
  </w:style>
  <w:style w:type="character" w:styleId="CommentReference">
    <w:name w:val="annotation reference"/>
    <w:basedOn w:val="DefaultParagraphFont"/>
    <w:uiPriority w:val="99"/>
    <w:semiHidden/>
    <w:unhideWhenUsed/>
    <w:rsid w:val="00FE1503"/>
    <w:rPr>
      <w:sz w:val="16"/>
      <w:szCs w:val="16"/>
    </w:rPr>
  </w:style>
  <w:style w:type="paragraph" w:styleId="CommentText">
    <w:name w:val="annotation text"/>
    <w:basedOn w:val="Normal"/>
    <w:link w:val="CommentTextChar"/>
    <w:uiPriority w:val="99"/>
    <w:semiHidden/>
    <w:unhideWhenUsed/>
    <w:rsid w:val="00FE1503"/>
    <w:rPr>
      <w:sz w:val="20"/>
      <w:szCs w:val="20"/>
    </w:rPr>
  </w:style>
  <w:style w:type="character" w:customStyle="1" w:styleId="CommentTextChar">
    <w:name w:val="Comment Text Char"/>
    <w:basedOn w:val="DefaultParagraphFont"/>
    <w:link w:val="CommentText"/>
    <w:uiPriority w:val="99"/>
    <w:semiHidden/>
    <w:rsid w:val="00FE1503"/>
    <w:rPr>
      <w:sz w:val="20"/>
      <w:szCs w:val="20"/>
    </w:rPr>
  </w:style>
  <w:style w:type="paragraph" w:styleId="CommentSubject">
    <w:name w:val="annotation subject"/>
    <w:basedOn w:val="CommentText"/>
    <w:next w:val="CommentText"/>
    <w:link w:val="CommentSubjectChar"/>
    <w:uiPriority w:val="99"/>
    <w:semiHidden/>
    <w:unhideWhenUsed/>
    <w:rsid w:val="00FE1503"/>
    <w:rPr>
      <w:b/>
      <w:bCs/>
    </w:rPr>
  </w:style>
  <w:style w:type="character" w:customStyle="1" w:styleId="CommentSubjectChar">
    <w:name w:val="Comment Subject Char"/>
    <w:basedOn w:val="CommentTextChar"/>
    <w:link w:val="CommentSubject"/>
    <w:uiPriority w:val="99"/>
    <w:semiHidden/>
    <w:rsid w:val="00FE1503"/>
    <w:rPr>
      <w:b/>
      <w:bCs/>
      <w:sz w:val="20"/>
      <w:szCs w:val="20"/>
    </w:rPr>
  </w:style>
  <w:style w:type="character" w:customStyle="1" w:styleId="Heading1Char">
    <w:name w:val="Heading 1 Char"/>
    <w:basedOn w:val="DefaultParagraphFont"/>
    <w:link w:val="Heading1"/>
    <w:uiPriority w:val="9"/>
    <w:rsid w:val="00C26F1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26F1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26F17"/>
    <w:rPr>
      <w:rFonts w:ascii="Times New Roman" w:eastAsia="Times New Roman" w:hAnsi="Times New Roman" w:cs="Times New Roman"/>
      <w:b/>
      <w:bCs/>
      <w:sz w:val="27"/>
      <w:szCs w:val="27"/>
    </w:rPr>
  </w:style>
  <w:style w:type="character" w:styleId="Emphasis">
    <w:name w:val="Emphasis"/>
    <w:basedOn w:val="DefaultParagraphFont"/>
    <w:uiPriority w:val="20"/>
    <w:qFormat/>
    <w:rsid w:val="00C26F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83210">
      <w:bodyDiv w:val="1"/>
      <w:marLeft w:val="0"/>
      <w:marRight w:val="0"/>
      <w:marTop w:val="0"/>
      <w:marBottom w:val="0"/>
      <w:divBdr>
        <w:top w:val="none" w:sz="0" w:space="0" w:color="auto"/>
        <w:left w:val="none" w:sz="0" w:space="0" w:color="auto"/>
        <w:bottom w:val="none" w:sz="0" w:space="0" w:color="auto"/>
        <w:right w:val="none" w:sz="0" w:space="0" w:color="auto"/>
      </w:divBdr>
    </w:div>
    <w:div w:id="158351460">
      <w:bodyDiv w:val="1"/>
      <w:marLeft w:val="0"/>
      <w:marRight w:val="0"/>
      <w:marTop w:val="0"/>
      <w:marBottom w:val="0"/>
      <w:divBdr>
        <w:top w:val="none" w:sz="0" w:space="0" w:color="auto"/>
        <w:left w:val="none" w:sz="0" w:space="0" w:color="auto"/>
        <w:bottom w:val="none" w:sz="0" w:space="0" w:color="auto"/>
        <w:right w:val="none" w:sz="0" w:space="0" w:color="auto"/>
      </w:divBdr>
    </w:div>
    <w:div w:id="964238308">
      <w:bodyDiv w:val="1"/>
      <w:marLeft w:val="0"/>
      <w:marRight w:val="0"/>
      <w:marTop w:val="0"/>
      <w:marBottom w:val="0"/>
      <w:divBdr>
        <w:top w:val="none" w:sz="0" w:space="0" w:color="auto"/>
        <w:left w:val="none" w:sz="0" w:space="0" w:color="auto"/>
        <w:bottom w:val="none" w:sz="0" w:space="0" w:color="auto"/>
        <w:right w:val="none" w:sz="0" w:space="0" w:color="auto"/>
      </w:divBdr>
      <w:divsChild>
        <w:div w:id="1369065515">
          <w:marLeft w:val="0"/>
          <w:marRight w:val="0"/>
          <w:marTop w:val="0"/>
          <w:marBottom w:val="0"/>
          <w:divBdr>
            <w:top w:val="none" w:sz="0" w:space="0" w:color="auto"/>
            <w:left w:val="none" w:sz="0" w:space="0" w:color="auto"/>
            <w:bottom w:val="none" w:sz="0" w:space="0" w:color="auto"/>
            <w:right w:val="none" w:sz="0" w:space="0" w:color="auto"/>
          </w:divBdr>
          <w:divsChild>
            <w:div w:id="168713081">
              <w:marLeft w:val="-45"/>
              <w:marRight w:val="0"/>
              <w:marTop w:val="0"/>
              <w:marBottom w:val="0"/>
              <w:divBdr>
                <w:top w:val="none" w:sz="0" w:space="0" w:color="auto"/>
                <w:left w:val="none" w:sz="0" w:space="0" w:color="auto"/>
                <w:bottom w:val="none" w:sz="0" w:space="0" w:color="auto"/>
                <w:right w:val="none" w:sz="0" w:space="0" w:color="auto"/>
              </w:divBdr>
              <w:divsChild>
                <w:div w:id="1789203531">
                  <w:marLeft w:val="75"/>
                  <w:marRight w:val="0"/>
                  <w:marTop w:val="0"/>
                  <w:marBottom w:val="0"/>
                  <w:divBdr>
                    <w:top w:val="none" w:sz="0" w:space="0" w:color="auto"/>
                    <w:left w:val="none" w:sz="0" w:space="0" w:color="auto"/>
                    <w:bottom w:val="none" w:sz="0" w:space="0" w:color="auto"/>
                    <w:right w:val="none" w:sz="0" w:space="0" w:color="auto"/>
                  </w:divBdr>
                  <w:divsChild>
                    <w:div w:id="619069390">
                      <w:marLeft w:val="0"/>
                      <w:marRight w:val="0"/>
                      <w:marTop w:val="0"/>
                      <w:marBottom w:val="0"/>
                      <w:divBdr>
                        <w:top w:val="none" w:sz="0" w:space="0" w:color="auto"/>
                        <w:left w:val="none" w:sz="0" w:space="0" w:color="auto"/>
                        <w:bottom w:val="none" w:sz="0" w:space="0" w:color="auto"/>
                        <w:right w:val="none" w:sz="0" w:space="0" w:color="auto"/>
                      </w:divBdr>
                      <w:divsChild>
                        <w:div w:id="1742562202">
                          <w:marLeft w:val="150"/>
                          <w:marRight w:val="150"/>
                          <w:marTop w:val="150"/>
                          <w:marBottom w:val="225"/>
                          <w:divBdr>
                            <w:top w:val="none" w:sz="0" w:space="0" w:color="auto"/>
                            <w:left w:val="none" w:sz="0" w:space="0" w:color="auto"/>
                            <w:bottom w:val="none" w:sz="0" w:space="0" w:color="auto"/>
                            <w:right w:val="none" w:sz="0" w:space="0" w:color="auto"/>
                          </w:divBdr>
                          <w:divsChild>
                            <w:div w:id="1157840052">
                              <w:marLeft w:val="0"/>
                              <w:marRight w:val="0"/>
                              <w:marTop w:val="240"/>
                              <w:marBottom w:val="75"/>
                              <w:divBdr>
                                <w:top w:val="none" w:sz="0" w:space="0" w:color="auto"/>
                                <w:left w:val="none" w:sz="0" w:space="0" w:color="auto"/>
                                <w:bottom w:val="none" w:sz="0" w:space="0" w:color="auto"/>
                                <w:right w:val="none" w:sz="0" w:space="0" w:color="auto"/>
                              </w:divBdr>
                            </w:div>
                            <w:div w:id="1833328544">
                              <w:marLeft w:val="0"/>
                              <w:marRight w:val="0"/>
                              <w:marTop w:val="0"/>
                              <w:marBottom w:val="75"/>
                              <w:divBdr>
                                <w:top w:val="none" w:sz="0" w:space="0" w:color="auto"/>
                                <w:left w:val="none" w:sz="0" w:space="0" w:color="auto"/>
                                <w:bottom w:val="none" w:sz="0" w:space="0" w:color="auto"/>
                                <w:right w:val="none" w:sz="0" w:space="0" w:color="auto"/>
                              </w:divBdr>
                            </w:div>
                            <w:div w:id="2557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645750">
      <w:bodyDiv w:val="1"/>
      <w:marLeft w:val="0"/>
      <w:marRight w:val="0"/>
      <w:marTop w:val="0"/>
      <w:marBottom w:val="0"/>
      <w:divBdr>
        <w:top w:val="none" w:sz="0" w:space="0" w:color="auto"/>
        <w:left w:val="none" w:sz="0" w:space="0" w:color="auto"/>
        <w:bottom w:val="none" w:sz="0" w:space="0" w:color="auto"/>
        <w:right w:val="none" w:sz="0" w:space="0" w:color="auto"/>
      </w:divBdr>
      <w:divsChild>
        <w:div w:id="1718622465">
          <w:marLeft w:val="0"/>
          <w:marRight w:val="0"/>
          <w:marTop w:val="0"/>
          <w:marBottom w:val="0"/>
          <w:divBdr>
            <w:top w:val="none" w:sz="0" w:space="0" w:color="auto"/>
            <w:left w:val="none" w:sz="0" w:space="0" w:color="auto"/>
            <w:bottom w:val="none" w:sz="0" w:space="0" w:color="auto"/>
            <w:right w:val="none" w:sz="0" w:space="0" w:color="auto"/>
          </w:divBdr>
          <w:divsChild>
            <w:div w:id="2063432932">
              <w:marLeft w:val="0"/>
              <w:marRight w:val="0"/>
              <w:marTop w:val="0"/>
              <w:marBottom w:val="0"/>
              <w:divBdr>
                <w:top w:val="none" w:sz="0" w:space="0" w:color="auto"/>
                <w:left w:val="none" w:sz="0" w:space="0" w:color="auto"/>
                <w:bottom w:val="none" w:sz="0" w:space="0" w:color="auto"/>
                <w:right w:val="none" w:sz="0" w:space="0" w:color="auto"/>
              </w:divBdr>
              <w:divsChild>
                <w:div w:id="60688074">
                  <w:marLeft w:val="0"/>
                  <w:marRight w:val="0"/>
                  <w:marTop w:val="0"/>
                  <w:marBottom w:val="0"/>
                  <w:divBdr>
                    <w:top w:val="none" w:sz="0" w:space="0" w:color="auto"/>
                    <w:left w:val="none" w:sz="0" w:space="0" w:color="auto"/>
                    <w:bottom w:val="none" w:sz="0" w:space="0" w:color="auto"/>
                    <w:right w:val="none" w:sz="0" w:space="0" w:color="auto"/>
                  </w:divBdr>
                  <w:divsChild>
                    <w:div w:id="1084958239">
                      <w:marLeft w:val="0"/>
                      <w:marRight w:val="0"/>
                      <w:marTop w:val="0"/>
                      <w:marBottom w:val="0"/>
                      <w:divBdr>
                        <w:top w:val="none" w:sz="0" w:space="0" w:color="auto"/>
                        <w:left w:val="none" w:sz="0" w:space="0" w:color="auto"/>
                        <w:bottom w:val="none" w:sz="0" w:space="0" w:color="auto"/>
                        <w:right w:val="none" w:sz="0" w:space="0" w:color="auto"/>
                      </w:divBdr>
                      <w:divsChild>
                        <w:div w:id="1688168377">
                          <w:marLeft w:val="0"/>
                          <w:marRight w:val="0"/>
                          <w:marTop w:val="0"/>
                          <w:marBottom w:val="0"/>
                          <w:divBdr>
                            <w:top w:val="none" w:sz="0" w:space="0" w:color="auto"/>
                            <w:left w:val="none" w:sz="0" w:space="0" w:color="auto"/>
                            <w:bottom w:val="none" w:sz="0" w:space="0" w:color="auto"/>
                            <w:right w:val="none" w:sz="0" w:space="0" w:color="auto"/>
                          </w:divBdr>
                          <w:divsChild>
                            <w:div w:id="1265727629">
                              <w:marLeft w:val="0"/>
                              <w:marRight w:val="0"/>
                              <w:marTop w:val="0"/>
                              <w:marBottom w:val="0"/>
                              <w:divBdr>
                                <w:top w:val="none" w:sz="0" w:space="0" w:color="auto"/>
                                <w:left w:val="none" w:sz="0" w:space="0" w:color="auto"/>
                                <w:bottom w:val="none" w:sz="0" w:space="0" w:color="auto"/>
                                <w:right w:val="none" w:sz="0" w:space="0" w:color="auto"/>
                              </w:divBdr>
                              <w:divsChild>
                                <w:div w:id="739402854">
                                  <w:marLeft w:val="0"/>
                                  <w:marRight w:val="0"/>
                                  <w:marTop w:val="0"/>
                                  <w:marBottom w:val="0"/>
                                  <w:divBdr>
                                    <w:top w:val="none" w:sz="0" w:space="0" w:color="auto"/>
                                    <w:left w:val="none" w:sz="0" w:space="0" w:color="auto"/>
                                    <w:bottom w:val="none" w:sz="0" w:space="0" w:color="auto"/>
                                    <w:right w:val="none" w:sz="0" w:space="0" w:color="auto"/>
                                  </w:divBdr>
                                  <w:divsChild>
                                    <w:div w:id="1326546764">
                                      <w:marLeft w:val="0"/>
                                      <w:marRight w:val="0"/>
                                      <w:marTop w:val="0"/>
                                      <w:marBottom w:val="0"/>
                                      <w:divBdr>
                                        <w:top w:val="none" w:sz="0" w:space="0" w:color="auto"/>
                                        <w:left w:val="none" w:sz="0" w:space="0" w:color="auto"/>
                                        <w:bottom w:val="none" w:sz="0" w:space="0" w:color="auto"/>
                                        <w:right w:val="none" w:sz="0" w:space="0" w:color="auto"/>
                                      </w:divBdr>
                                      <w:divsChild>
                                        <w:div w:id="1287617934">
                                          <w:marLeft w:val="0"/>
                                          <w:marRight w:val="0"/>
                                          <w:marTop w:val="0"/>
                                          <w:marBottom w:val="0"/>
                                          <w:divBdr>
                                            <w:top w:val="none" w:sz="0" w:space="0" w:color="auto"/>
                                            <w:left w:val="none" w:sz="0" w:space="0" w:color="auto"/>
                                            <w:bottom w:val="none" w:sz="0" w:space="0" w:color="auto"/>
                                            <w:right w:val="none" w:sz="0" w:space="0" w:color="auto"/>
                                          </w:divBdr>
                                          <w:divsChild>
                                            <w:div w:id="1730421667">
                                              <w:marLeft w:val="0"/>
                                              <w:marRight w:val="0"/>
                                              <w:marTop w:val="0"/>
                                              <w:marBottom w:val="0"/>
                                              <w:divBdr>
                                                <w:top w:val="none" w:sz="0" w:space="0" w:color="auto"/>
                                                <w:left w:val="none" w:sz="0" w:space="0" w:color="auto"/>
                                                <w:bottom w:val="none" w:sz="0" w:space="0" w:color="auto"/>
                                                <w:right w:val="none" w:sz="0" w:space="0" w:color="auto"/>
                                              </w:divBdr>
                                              <w:divsChild>
                                                <w:div w:id="636881540">
                                                  <w:marLeft w:val="0"/>
                                                  <w:marRight w:val="0"/>
                                                  <w:marTop w:val="0"/>
                                                  <w:marBottom w:val="0"/>
                                                  <w:divBdr>
                                                    <w:top w:val="none" w:sz="0" w:space="0" w:color="auto"/>
                                                    <w:left w:val="none" w:sz="0" w:space="0" w:color="auto"/>
                                                    <w:bottom w:val="none" w:sz="0" w:space="0" w:color="auto"/>
                                                    <w:right w:val="none" w:sz="0" w:space="0" w:color="auto"/>
                                                  </w:divBdr>
                                                  <w:divsChild>
                                                    <w:div w:id="1886208633">
                                                      <w:marLeft w:val="0"/>
                                                      <w:marRight w:val="0"/>
                                                      <w:marTop w:val="0"/>
                                                      <w:marBottom w:val="0"/>
                                                      <w:divBdr>
                                                        <w:top w:val="none" w:sz="0" w:space="0" w:color="auto"/>
                                                        <w:left w:val="none" w:sz="0" w:space="0" w:color="auto"/>
                                                        <w:bottom w:val="none" w:sz="0" w:space="0" w:color="auto"/>
                                                        <w:right w:val="none" w:sz="0" w:space="0" w:color="auto"/>
                                                      </w:divBdr>
                                                    </w:div>
                                                    <w:div w:id="7979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9215">
                                              <w:marLeft w:val="0"/>
                                              <w:marRight w:val="0"/>
                                              <w:marTop w:val="0"/>
                                              <w:marBottom w:val="0"/>
                                              <w:divBdr>
                                                <w:top w:val="none" w:sz="0" w:space="0" w:color="auto"/>
                                                <w:left w:val="none" w:sz="0" w:space="0" w:color="auto"/>
                                                <w:bottom w:val="none" w:sz="0" w:space="0" w:color="auto"/>
                                                <w:right w:val="none" w:sz="0" w:space="0" w:color="auto"/>
                                              </w:divBdr>
                                              <w:divsChild>
                                                <w:div w:id="1496142414">
                                                  <w:marLeft w:val="0"/>
                                                  <w:marRight w:val="0"/>
                                                  <w:marTop w:val="0"/>
                                                  <w:marBottom w:val="0"/>
                                                  <w:divBdr>
                                                    <w:top w:val="none" w:sz="0" w:space="0" w:color="auto"/>
                                                    <w:left w:val="none" w:sz="0" w:space="0" w:color="auto"/>
                                                    <w:bottom w:val="none" w:sz="0" w:space="0" w:color="auto"/>
                                                    <w:right w:val="none" w:sz="0" w:space="0" w:color="auto"/>
                                                  </w:divBdr>
                                                  <w:divsChild>
                                                    <w:div w:id="61395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5801002">
      <w:bodyDiv w:val="1"/>
      <w:marLeft w:val="0"/>
      <w:marRight w:val="0"/>
      <w:marTop w:val="0"/>
      <w:marBottom w:val="0"/>
      <w:divBdr>
        <w:top w:val="none" w:sz="0" w:space="0" w:color="auto"/>
        <w:left w:val="none" w:sz="0" w:space="0" w:color="auto"/>
        <w:bottom w:val="none" w:sz="0" w:space="0" w:color="auto"/>
        <w:right w:val="none" w:sz="0" w:space="0" w:color="auto"/>
      </w:divBdr>
      <w:divsChild>
        <w:div w:id="2016373704">
          <w:marLeft w:val="0"/>
          <w:marRight w:val="0"/>
          <w:marTop w:val="0"/>
          <w:marBottom w:val="0"/>
          <w:divBdr>
            <w:top w:val="none" w:sz="0" w:space="0" w:color="auto"/>
            <w:left w:val="none" w:sz="0" w:space="0" w:color="auto"/>
            <w:bottom w:val="none" w:sz="0" w:space="0" w:color="auto"/>
            <w:right w:val="none" w:sz="0" w:space="0" w:color="auto"/>
          </w:divBdr>
          <w:divsChild>
            <w:div w:id="667057441">
              <w:marLeft w:val="0"/>
              <w:marRight w:val="0"/>
              <w:marTop w:val="0"/>
              <w:marBottom w:val="0"/>
              <w:divBdr>
                <w:top w:val="none" w:sz="0" w:space="0" w:color="auto"/>
                <w:left w:val="none" w:sz="0" w:space="0" w:color="auto"/>
                <w:bottom w:val="none" w:sz="0" w:space="0" w:color="auto"/>
                <w:right w:val="none" w:sz="0" w:space="0" w:color="auto"/>
              </w:divBdr>
              <w:divsChild>
                <w:div w:id="1375812730">
                  <w:marLeft w:val="300"/>
                  <w:marRight w:val="450"/>
                  <w:marTop w:val="0"/>
                  <w:marBottom w:val="300"/>
                  <w:divBdr>
                    <w:top w:val="none" w:sz="0" w:space="0" w:color="auto"/>
                    <w:left w:val="none" w:sz="0" w:space="0" w:color="auto"/>
                    <w:bottom w:val="none" w:sz="0" w:space="0" w:color="auto"/>
                    <w:right w:val="none" w:sz="0" w:space="0" w:color="auto"/>
                  </w:divBdr>
                </w:div>
              </w:divsChild>
            </w:div>
          </w:divsChild>
        </w:div>
      </w:divsChild>
    </w:div>
    <w:div w:id="1868251352">
      <w:bodyDiv w:val="1"/>
      <w:marLeft w:val="0"/>
      <w:marRight w:val="0"/>
      <w:marTop w:val="0"/>
      <w:marBottom w:val="0"/>
      <w:divBdr>
        <w:top w:val="none" w:sz="0" w:space="0" w:color="auto"/>
        <w:left w:val="none" w:sz="0" w:space="0" w:color="auto"/>
        <w:bottom w:val="none" w:sz="0" w:space="0" w:color="auto"/>
        <w:right w:val="none" w:sz="0" w:space="0" w:color="auto"/>
      </w:divBdr>
      <w:divsChild>
        <w:div w:id="103547917">
          <w:marLeft w:val="0"/>
          <w:marRight w:val="0"/>
          <w:marTop w:val="100"/>
          <w:marBottom w:val="100"/>
          <w:divBdr>
            <w:top w:val="none" w:sz="0" w:space="0" w:color="auto"/>
            <w:left w:val="none" w:sz="0" w:space="0" w:color="auto"/>
            <w:bottom w:val="none" w:sz="0" w:space="0" w:color="auto"/>
            <w:right w:val="none" w:sz="0" w:space="0" w:color="auto"/>
          </w:divBdr>
          <w:divsChild>
            <w:div w:id="1887523375">
              <w:marLeft w:val="0"/>
              <w:marRight w:val="0"/>
              <w:marTop w:val="0"/>
              <w:marBottom w:val="0"/>
              <w:divBdr>
                <w:top w:val="none" w:sz="0" w:space="0" w:color="auto"/>
                <w:left w:val="none" w:sz="0" w:space="0" w:color="auto"/>
                <w:bottom w:val="none" w:sz="0" w:space="0" w:color="auto"/>
                <w:right w:val="none" w:sz="0" w:space="0" w:color="auto"/>
              </w:divBdr>
            </w:div>
          </w:divsChild>
        </w:div>
        <w:div w:id="450323135">
          <w:marLeft w:val="0"/>
          <w:marRight w:val="0"/>
          <w:marTop w:val="0"/>
          <w:marBottom w:val="0"/>
          <w:divBdr>
            <w:top w:val="none" w:sz="0" w:space="0" w:color="auto"/>
            <w:left w:val="none" w:sz="0" w:space="0" w:color="auto"/>
            <w:bottom w:val="none" w:sz="0" w:space="0" w:color="auto"/>
            <w:right w:val="none" w:sz="0" w:space="0" w:color="auto"/>
          </w:divBdr>
          <w:divsChild>
            <w:div w:id="8557280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7061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jcarson.WCU\AppData\Local\Microsoft\Windows\INetCache\Content.Outlook\TW0S75AI\osp.od.nih.go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cu.edu/WebFiles/IBC_Training_Documentation_Checklist_FINAL.doc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cu.edu/WebFiles/IBC_NIH_Section_Citations_TABL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cu.edu/WebFiles/IBC_Annual_Renewal_Modification_FINAL.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cu.edu/WebFiles/IBC_Application_FINAL_2019.docx"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hner\AppData\Local\Microsoft\Windows\Temporary%20Internet%20Files\Content.Outlook\CBFLTYX3\Policy%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CABC7-B26B-42B1-9DBE-A35507CAB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C:\Users\lochner\AppData\Local\Microsoft\Windows\Temporary Internet Files\Content.Outlook\CBFLTYX3\Policy Template (2).dotx</Template>
  <TotalTime>5</TotalTime>
  <Pages>4</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Ivy Gibson</cp:lastModifiedBy>
  <cp:revision>6</cp:revision>
  <cp:lastPrinted>2011-07-19T12:54:00Z</cp:lastPrinted>
  <dcterms:created xsi:type="dcterms:W3CDTF">2021-03-02T13:08:00Z</dcterms:created>
  <dcterms:modified xsi:type="dcterms:W3CDTF">2021-03-09T14:40:00Z</dcterms:modified>
</cp:coreProperties>
</file>