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D10E6" w:rsidRDefault="005B147A">
      <w:pPr>
        <w:rPr>
          <w:b/>
        </w:rPr>
      </w:pPr>
      <w:r w:rsidRPr="005B147A">
        <w:rPr>
          <w:b/>
          <w:noProof/>
        </w:rPr>
        <mc:AlternateContent>
          <mc:Choice Requires="wps">
            <w:drawing>
              <wp:anchor distT="0" distB="0" distL="114300" distR="114300" simplePos="0" relativeHeight="251659264" behindDoc="0" locked="0" layoutInCell="1" allowOverlap="1" wp14:editId="36B11C9B">
                <wp:simplePos x="0" y="0"/>
                <wp:positionH relativeFrom="column">
                  <wp:posOffset>2065765</wp:posOffset>
                </wp:positionH>
                <wp:positionV relativeFrom="paragraph">
                  <wp:posOffset>2122999</wp:posOffset>
                </wp:positionV>
                <wp:extent cx="4118610" cy="1069975"/>
                <wp:effectExtent l="0" t="0" r="1524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8610" cy="1069975"/>
                        </a:xfrm>
                        <a:prstGeom prst="rect">
                          <a:avLst/>
                        </a:prstGeom>
                        <a:solidFill>
                          <a:srgbClr val="FFFFFF"/>
                        </a:solidFill>
                        <a:ln w="9525">
                          <a:solidFill>
                            <a:srgbClr val="000000"/>
                          </a:solidFill>
                          <a:miter lim="800000"/>
                          <a:headEnd/>
                          <a:tailEnd/>
                        </a:ln>
                      </wps:spPr>
                      <wps:txbx>
                        <w:txbxContent>
                          <w:p w:rsidR="005B147A" w:rsidRDefault="005B147A" w:rsidP="005B147A">
                            <w:pPr>
                              <w:jc w:val="center"/>
                            </w:pPr>
                            <w:r>
                              <w:t>2013-2014</w:t>
                            </w:r>
                          </w:p>
                          <w:p w:rsidR="005B147A" w:rsidRDefault="005B147A" w:rsidP="005B147A">
                            <w:pPr>
                              <w:jc w:val="center"/>
                              <w:rPr>
                                <w:b/>
                              </w:rPr>
                            </w:pPr>
                            <w:r>
                              <w:rPr>
                                <w:b/>
                              </w:rPr>
                              <w:t>Changes to WCU University Faculty Awards</w:t>
                            </w:r>
                          </w:p>
                          <w:p w:rsidR="005B147A" w:rsidRPr="005B147A" w:rsidRDefault="005B147A" w:rsidP="005B147A">
                            <w:pPr>
                              <w:jc w:val="center"/>
                              <w:rPr>
                                <w:b/>
                              </w:rPr>
                            </w:pPr>
                            <w:r>
                              <w:rPr>
                                <w:b/>
                              </w:rPr>
                              <w:t xml:space="preserve">Office of the Provost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margin-left:162.65pt;margin-top:167.15pt;width:324.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">
                <v:textbox style="mso-fit-shape-to-text:t">
                  <w:txbxContent>
                    <w:p w:rsidR="005B147A" w:rsidRDefault="005B147A" w:rsidP="005B147A">
                      <w:pPr>
                        <w:jc w:val="center"/>
                      </w:pPr>
                      <w:r>
                        <w:t>2013-2014</w:t>
                      </w:r>
                    </w:p>
                    <w:p w:rsidR="005B147A" w:rsidRDefault="005B147A" w:rsidP="005B147A">
                      <w:pPr>
                        <w:jc w:val="center"/>
                        <w:rPr>
                          <w:b/>
                        </w:rPr>
                      </w:pPr>
                      <w:r>
                        <w:rPr>
                          <w:b/>
                        </w:rPr>
                        <w:t>Changes to WCU University Faculty Awards</w:t>
                      </w:r>
                    </w:p>
                    <w:p w:rsidR="005B147A" w:rsidRPr="005B147A" w:rsidRDefault="005B147A" w:rsidP="005B147A">
                      <w:pPr>
                        <w:jc w:val="center"/>
                        <w:rPr>
                          <w:b/>
                        </w:rPr>
                      </w:pPr>
                      <w:r>
                        <w:rPr>
                          <w:b/>
                        </w:rPr>
                        <w:t xml:space="preserve">Office of the Provost </w:t>
                      </w:r>
                    </w:p>
                  </w:txbxContent>
                </v:textbox>
              </v:shape>
            </w:pict>
          </mc:Fallback>
        </mc:AlternateContent>
      </w:r>
      <w:r w:rsidR="008D10E6">
        <w:rPr>
          <w:b/>
          <w:noProof/>
        </w:rPr>
        <w:drawing>
          <wp:inline distT="0" distB="0" distL="0" distR="0">
            <wp:extent cx="1876508" cy="8833897"/>
            <wp:effectExtent l="0" t="0" r="0" b="5715"/>
            <wp:docPr id="1" name="Picture 1" descr="C:\Users\lcruz\AppData\Local\Microsoft\Windows\Temporary Internet Files\Content.Outlook\IJFVE01C\swoosh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ruz\AppData\Local\Microsoft\Windows\Temporary Internet Files\Content.Outlook\IJFVE01C\swoosh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0467" cy="8852534"/>
                    </a:xfrm>
                    <a:prstGeom prst="rect">
                      <a:avLst/>
                    </a:prstGeom>
                    <a:noFill/>
                    <a:ln>
                      <a:noFill/>
                    </a:ln>
                  </pic:spPr>
                </pic:pic>
              </a:graphicData>
            </a:graphic>
          </wp:inline>
        </w:drawing>
      </w:r>
    </w:p>
    <w:p w:rsidR="008D10E6" w:rsidRDefault="008D10E6">
      <w:pPr>
        <w:rPr>
          <w:b/>
        </w:rPr>
      </w:pPr>
    </w:p>
    <w:p w:rsidR="00416BAC" w:rsidRDefault="00416BAC">
      <w:pPr>
        <w:rPr>
          <w:b/>
        </w:rPr>
      </w:pPr>
      <w:r>
        <w:rPr>
          <w:b/>
        </w:rPr>
        <w:t>Executive Summary:</w:t>
      </w:r>
    </w:p>
    <w:p w:rsidR="00CD5BE0" w:rsidRDefault="00CD5BE0">
      <w:r>
        <w:t xml:space="preserve">As part of its role in fostering faculty development, the Office of the Provost oversees all university-level awards on campus. As part of a periodic review and based on information culled from the integrated awards process, the Provost has chosen to implement several strategic changes to these awards, effective for the 2013-14 academic year. </w:t>
      </w:r>
    </w:p>
    <w:p w:rsidR="00416BAC" w:rsidRDefault="00416BAC">
      <w:r w:rsidRPr="00416BAC">
        <w:t xml:space="preserve">This </w:t>
      </w:r>
      <w:r>
        <w:t>document details the following changes to be made to WCU’s university level awards:</w:t>
      </w:r>
    </w:p>
    <w:p w:rsidR="00416BAC" w:rsidRDefault="00416BAC">
      <w:r>
        <w:t xml:space="preserve">1. The creation of a new award, the WCU Excellence in Community Service Award, in tandem with general administration’s Board of Governor’s Award for Excellence in Public Service </w:t>
      </w:r>
      <w:r w:rsidR="001E39B9">
        <w:br/>
        <w:t xml:space="preserve">2. </w:t>
      </w:r>
      <w:proofErr w:type="gramStart"/>
      <w:r w:rsidR="001E39B9">
        <w:t>The elimination of the</w:t>
      </w:r>
      <w:r>
        <w:t xml:space="preserve"> Jay M. Robinson Award fo</w:t>
      </w:r>
      <w:r w:rsidR="001E39B9">
        <w:t xml:space="preserve">r </w:t>
      </w:r>
      <w:proofErr w:type="spellStart"/>
      <w:r w:rsidR="001E39B9">
        <w:t>eTeaching</w:t>
      </w:r>
      <w:proofErr w:type="spellEnd"/>
      <w:r w:rsidR="001E39B9">
        <w:t xml:space="preserve"> </w:t>
      </w:r>
      <w:r w:rsidR="001E39B9">
        <w:br/>
        <w:t>3.</w:t>
      </w:r>
      <w:proofErr w:type="gramEnd"/>
      <w:r w:rsidR="001E39B9">
        <w:t xml:space="preserve"> The replacement</w:t>
      </w:r>
      <w:r>
        <w:t xml:space="preserve"> of the Scholarship of Teaching and Learning (</w:t>
      </w:r>
      <w:proofErr w:type="spellStart"/>
      <w:r>
        <w:t>SoTL</w:t>
      </w:r>
      <w:proofErr w:type="spellEnd"/>
      <w:r>
        <w:t xml:space="preserve">) Scholar Award </w:t>
      </w:r>
      <w:r w:rsidR="001E39B9">
        <w:t xml:space="preserve">with </w:t>
      </w:r>
      <w:r w:rsidR="0038325C">
        <w:t xml:space="preserve">the Innovative Scholarship </w:t>
      </w:r>
      <w:r w:rsidR="001E39B9">
        <w:t xml:space="preserve">Award </w:t>
      </w:r>
    </w:p>
    <w:p w:rsidR="00416BAC" w:rsidRDefault="00416BAC">
      <w:pPr>
        <w:rPr>
          <w:b/>
        </w:rPr>
      </w:pPr>
    </w:p>
    <w:p w:rsidR="00416BAC" w:rsidRDefault="00416BAC">
      <w:pPr>
        <w:rPr>
          <w:b/>
        </w:rPr>
      </w:pPr>
    </w:p>
    <w:p w:rsidR="0008393E" w:rsidRDefault="0008393E">
      <w:pPr>
        <w:rPr>
          <w:b/>
        </w:rPr>
      </w:pPr>
    </w:p>
    <w:p w:rsidR="0008393E" w:rsidRDefault="0008393E">
      <w:pPr>
        <w:rPr>
          <w:b/>
        </w:rPr>
      </w:pPr>
    </w:p>
    <w:p w:rsidR="0008393E" w:rsidRDefault="0008393E">
      <w:pPr>
        <w:rPr>
          <w:b/>
        </w:rPr>
      </w:pPr>
    </w:p>
    <w:p w:rsidR="0008393E" w:rsidRDefault="0008393E">
      <w:pPr>
        <w:rPr>
          <w:b/>
        </w:rPr>
      </w:pPr>
    </w:p>
    <w:p w:rsidR="0008393E" w:rsidRDefault="0008393E">
      <w:pPr>
        <w:rPr>
          <w:b/>
        </w:rPr>
      </w:pPr>
    </w:p>
    <w:p w:rsidR="0008393E" w:rsidRDefault="0008393E">
      <w:pPr>
        <w:rPr>
          <w:b/>
        </w:rPr>
      </w:pPr>
    </w:p>
    <w:p w:rsidR="0008393E" w:rsidRDefault="0008393E">
      <w:pPr>
        <w:rPr>
          <w:b/>
        </w:rPr>
      </w:pPr>
    </w:p>
    <w:p w:rsidR="0008393E" w:rsidRDefault="0008393E">
      <w:pPr>
        <w:rPr>
          <w:b/>
        </w:rPr>
      </w:pPr>
    </w:p>
    <w:p w:rsidR="0008393E" w:rsidRDefault="0008393E">
      <w:pPr>
        <w:rPr>
          <w:b/>
        </w:rPr>
      </w:pPr>
    </w:p>
    <w:p w:rsidR="0008393E" w:rsidRDefault="0008393E">
      <w:pPr>
        <w:rPr>
          <w:b/>
        </w:rPr>
      </w:pPr>
    </w:p>
    <w:p w:rsidR="0008393E" w:rsidRDefault="0008393E">
      <w:pPr>
        <w:rPr>
          <w:b/>
        </w:rPr>
      </w:pPr>
    </w:p>
    <w:p w:rsidR="005B147A" w:rsidRDefault="005B147A">
      <w:pPr>
        <w:rPr>
          <w:b/>
        </w:rPr>
      </w:pPr>
    </w:p>
    <w:p w:rsidR="005B147A" w:rsidRDefault="005B147A">
      <w:pPr>
        <w:rPr>
          <w:b/>
        </w:rPr>
      </w:pPr>
    </w:p>
    <w:p w:rsidR="005B147A" w:rsidRDefault="005B147A">
      <w:pPr>
        <w:rPr>
          <w:b/>
        </w:rPr>
      </w:pPr>
    </w:p>
    <w:p w:rsidR="007633E6" w:rsidRPr="006F2587" w:rsidRDefault="0008393E">
      <w:pPr>
        <w:rPr>
          <w:b/>
        </w:rPr>
      </w:pPr>
      <w:r>
        <w:rPr>
          <w:b/>
        </w:rPr>
        <w:lastRenderedPageBreak/>
        <w:t xml:space="preserve">Background: </w:t>
      </w:r>
      <w:r w:rsidR="00354D31">
        <w:rPr>
          <w:b/>
        </w:rPr>
        <w:t xml:space="preserve">WCU Integrated Awards </w:t>
      </w:r>
    </w:p>
    <w:p w:rsidR="00B64326" w:rsidRPr="00B64326" w:rsidRDefault="00B64326" w:rsidP="00B643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Arial"/>
          <w:bCs/>
          <w:u w:val="single"/>
        </w:rPr>
      </w:pPr>
      <w:r w:rsidRPr="00B64326">
        <w:rPr>
          <w:rFonts w:cs="Arial"/>
          <w:bCs/>
          <w:u w:val="single"/>
        </w:rPr>
        <w:t xml:space="preserve">Strategic Alignment: </w:t>
      </w:r>
    </w:p>
    <w:p w:rsidR="00B64326" w:rsidRPr="00B64326" w:rsidRDefault="00B64326" w:rsidP="00B643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rPr>
      </w:pPr>
      <w:r w:rsidRPr="00B64326">
        <w:rPr>
          <w:rFonts w:cs="Arial"/>
          <w:bCs/>
        </w:rPr>
        <w:t>GOAL 2.3</w:t>
      </w:r>
      <w:r w:rsidRPr="00B64326">
        <w:rPr>
          <w:rFonts w:cs="Arial"/>
        </w:rPr>
        <w:t xml:space="preserve">: Instill pride in the University through more visible recognition and celebration of institutional achievements and traditions. </w:t>
      </w:r>
    </w:p>
    <w:p w:rsidR="00B64326" w:rsidRDefault="00B64326" w:rsidP="00B64326">
      <w:pPr>
        <w:spacing w:after="0" w:line="240" w:lineRule="auto"/>
        <w:rPr>
          <w:u w:val="single"/>
        </w:rPr>
      </w:pPr>
    </w:p>
    <w:p w:rsidR="00A40828" w:rsidRDefault="006F2587" w:rsidP="006F2587">
      <w:pPr>
        <w:rPr>
          <w:u w:val="single"/>
        </w:rPr>
      </w:pPr>
      <w:r w:rsidRPr="006F2587">
        <w:rPr>
          <w:u w:val="single"/>
        </w:rPr>
        <w:t xml:space="preserve">History: </w:t>
      </w:r>
      <w:r>
        <w:rPr>
          <w:u w:val="single"/>
        </w:rPr>
        <w:br/>
        <w:t>I</w:t>
      </w:r>
      <w:r w:rsidRPr="006F2587">
        <w:t xml:space="preserve">n 2011, WCU instituted an integrated awards process. </w:t>
      </w:r>
      <w:r w:rsidRPr="006F2587">
        <w:rPr>
          <w:rFonts w:cs="Times New Roman"/>
        </w:rPr>
        <w:t xml:space="preserve">The process integrates the nomination/voting process for many of the campus awards for outstanding faculty </w:t>
      </w:r>
      <w:r>
        <w:rPr>
          <w:rFonts w:cs="Times New Roman"/>
        </w:rPr>
        <w:t xml:space="preserve">and staff </w:t>
      </w:r>
      <w:r w:rsidRPr="006F2587">
        <w:rPr>
          <w:rFonts w:cs="Times New Roman"/>
        </w:rPr>
        <w:t xml:space="preserve">work in teaching and learning, </w:t>
      </w:r>
      <w:r>
        <w:rPr>
          <w:rFonts w:cs="Times New Roman"/>
        </w:rPr>
        <w:t xml:space="preserve">service, </w:t>
      </w:r>
      <w:r w:rsidRPr="006F2587">
        <w:rPr>
          <w:rFonts w:cs="Times New Roman"/>
        </w:rPr>
        <w:t xml:space="preserve">scholarship, and engagement. </w:t>
      </w:r>
      <w:r>
        <w:rPr>
          <w:rFonts w:cs="Times New Roman"/>
        </w:rPr>
        <w:t xml:space="preserve"> Each year the process has expanded to include more o</w:t>
      </w:r>
      <w:r w:rsidR="00A40828">
        <w:rPr>
          <w:rFonts w:cs="Times New Roman"/>
        </w:rPr>
        <w:t xml:space="preserve">f WCUs awards and recognitions. </w:t>
      </w:r>
      <w:r>
        <w:rPr>
          <w:rFonts w:cs="Times New Roman"/>
        </w:rPr>
        <w:t xml:space="preserve"> </w:t>
      </w:r>
    </w:p>
    <w:p w:rsidR="006F2587" w:rsidRPr="00A40828" w:rsidRDefault="006F2587" w:rsidP="006F2587">
      <w:pPr>
        <w:rPr>
          <w:u w:val="single"/>
        </w:rPr>
      </w:pPr>
      <w:r>
        <w:rPr>
          <w:rFonts w:cs="Times New Roman"/>
        </w:rPr>
        <w:t xml:space="preserve">For a complete list of awards included in </w:t>
      </w:r>
      <w:r w:rsidR="0008393E">
        <w:rPr>
          <w:rFonts w:cs="Times New Roman"/>
        </w:rPr>
        <w:t>the process, please see</w:t>
      </w:r>
      <w:r w:rsidR="001E39B9">
        <w:rPr>
          <w:rFonts w:cs="Times New Roman"/>
        </w:rPr>
        <w:t xml:space="preserve"> appendix 1</w:t>
      </w:r>
      <w:r>
        <w:rPr>
          <w:rFonts w:cs="Times New Roman"/>
        </w:rPr>
        <w:t xml:space="preserve"> below. </w:t>
      </w:r>
    </w:p>
    <w:p w:rsidR="006F2587" w:rsidRDefault="006F2587">
      <w:pPr>
        <w:rPr>
          <w:rFonts w:cs="Times New Roman"/>
        </w:rPr>
      </w:pPr>
      <w:r w:rsidRPr="006F2587">
        <w:rPr>
          <w:rFonts w:cs="Times New Roman"/>
          <w:u w:val="single"/>
        </w:rPr>
        <w:t xml:space="preserve">Process: </w:t>
      </w:r>
      <w:r>
        <w:rPr>
          <w:rFonts w:cs="Times New Roman"/>
          <w:u w:val="single"/>
        </w:rPr>
        <w:br/>
      </w:r>
      <w:r>
        <w:rPr>
          <w:rFonts w:cs="Times New Roman"/>
        </w:rPr>
        <w:t xml:space="preserve">In late January, all faculty, staff, and students who are eligible to nominate receive a link to a customized electronic ballot (executed through Qualtrics). The ballot remains open for approximately a two-week period. The Coulter Faculty Commons compiles the results and sends them to the appropriate representatives/committee chairs for each award. </w:t>
      </w:r>
    </w:p>
    <w:p w:rsidR="00A40828" w:rsidRDefault="00B64326">
      <w:pPr>
        <w:rPr>
          <w:rFonts w:cs="Times New Roman"/>
        </w:rPr>
      </w:pPr>
      <w:r>
        <w:rPr>
          <w:rFonts w:cs="Times New Roman"/>
          <w:u w:val="single"/>
        </w:rPr>
        <w:t>Rationale:</w:t>
      </w:r>
      <w:r>
        <w:rPr>
          <w:rFonts w:cs="Times New Roman"/>
          <w:u w:val="single"/>
        </w:rPr>
        <w:br/>
      </w:r>
      <w:r w:rsidRPr="00A40828">
        <w:rPr>
          <w:rFonts w:cs="Times New Roman"/>
        </w:rPr>
        <w:t>The proposed benefits of the integrated awards system included the following:</w:t>
      </w:r>
    </w:p>
    <w:p w:rsidR="00B64326" w:rsidRDefault="00B64326">
      <w:pPr>
        <w:rPr>
          <w:rFonts w:cs="Times New Roman"/>
        </w:rPr>
      </w:pPr>
      <w:r w:rsidRPr="00A40828">
        <w:rPr>
          <w:rFonts w:cs="Times New Roman"/>
        </w:rPr>
        <w:t xml:space="preserve">1. Efficiency. With over 20 major awards, WCU was challenged with multiple and conflicting processes, often without clearly defined owners. </w:t>
      </w:r>
      <w:r w:rsidR="00A40828">
        <w:rPr>
          <w:rFonts w:cs="Times New Roman"/>
        </w:rPr>
        <w:t xml:space="preserve">The new process would provide one, clear process and a single point of contact for communication and support. </w:t>
      </w:r>
      <w:r w:rsidRPr="00A40828">
        <w:rPr>
          <w:rFonts w:cs="Times New Roman"/>
        </w:rPr>
        <w:br/>
        <w:t>2. Integrity. Many award nomination process</w:t>
      </w:r>
      <w:r w:rsidR="00A40828">
        <w:rPr>
          <w:rFonts w:cs="Times New Roman"/>
        </w:rPr>
        <w:t>es</w:t>
      </w:r>
      <w:r w:rsidRPr="00A40828">
        <w:rPr>
          <w:rFonts w:cs="Times New Roman"/>
        </w:rPr>
        <w:t xml:space="preserve"> still include</w:t>
      </w:r>
      <w:r w:rsidR="00A40828">
        <w:rPr>
          <w:rFonts w:cs="Times New Roman"/>
        </w:rPr>
        <w:t>d</w:t>
      </w:r>
      <w:r w:rsidRPr="00A40828">
        <w:rPr>
          <w:rFonts w:cs="Times New Roman"/>
        </w:rPr>
        <w:t xml:space="preserve"> paper bal</w:t>
      </w:r>
      <w:r w:rsidR="00A40828" w:rsidRPr="00A40828">
        <w:rPr>
          <w:rFonts w:cs="Times New Roman"/>
        </w:rPr>
        <w:t xml:space="preserve">lots, or other means with the potential to provide inappropriate or duplicate entries. </w:t>
      </w:r>
      <w:r w:rsidR="00A40828">
        <w:rPr>
          <w:rFonts w:cs="Times New Roman"/>
        </w:rPr>
        <w:t xml:space="preserve">Qualtrics provided objective and consistent authentication, as well as the individualized ballots which did not permit duplicate entries. </w:t>
      </w:r>
      <w:r w:rsidR="00A40828" w:rsidRPr="00A40828">
        <w:rPr>
          <w:rFonts w:cs="Times New Roman"/>
        </w:rPr>
        <w:br/>
        <w:t xml:space="preserve">3. Participation. Research suggested that integrated, on-line processes had the potential to increase what for WCU had been a distinct downward trend in nominations. </w:t>
      </w:r>
      <w:r w:rsidR="00A40828">
        <w:rPr>
          <w:rFonts w:cs="Times New Roman"/>
        </w:rPr>
        <w:t xml:space="preserve">This would definitely prove </w:t>
      </w:r>
      <w:r w:rsidR="001E39B9">
        <w:rPr>
          <w:rFonts w:cs="Times New Roman"/>
        </w:rPr>
        <w:t>to be the case at WCU (see appendix 2</w:t>
      </w:r>
      <w:r w:rsidR="00A40828">
        <w:rPr>
          <w:rFonts w:cs="Times New Roman"/>
        </w:rPr>
        <w:t xml:space="preserve"> below), as participation in the award nomination process increased exponentially at first and steadily thereafter. The CFC is predicting that the addition of the staff awards over the summer of 2013 will follow a similar trajectory. </w:t>
      </w:r>
    </w:p>
    <w:p w:rsidR="00A40828" w:rsidRDefault="00A40828">
      <w:pPr>
        <w:rPr>
          <w:rFonts w:cs="Times New Roman"/>
        </w:rPr>
      </w:pPr>
    </w:p>
    <w:p w:rsidR="00A40828" w:rsidRDefault="00A40828">
      <w:pPr>
        <w:rPr>
          <w:rFonts w:cs="Times New Roman"/>
        </w:rPr>
      </w:pPr>
    </w:p>
    <w:p w:rsidR="00A40828" w:rsidRDefault="00A40828">
      <w:pPr>
        <w:rPr>
          <w:rFonts w:cs="Times New Roman"/>
        </w:rPr>
      </w:pPr>
    </w:p>
    <w:p w:rsidR="00A40828" w:rsidRDefault="00A40828">
      <w:pPr>
        <w:rPr>
          <w:rFonts w:cs="Times New Roman"/>
        </w:rPr>
      </w:pPr>
    </w:p>
    <w:p w:rsidR="00CD5BE0" w:rsidRDefault="00CD5BE0">
      <w:pPr>
        <w:rPr>
          <w:rFonts w:cs="Times New Roman"/>
          <w:b/>
        </w:rPr>
      </w:pPr>
    </w:p>
    <w:p w:rsidR="00A40828" w:rsidRPr="00CD5BE0" w:rsidRDefault="00CD5BE0">
      <w:pPr>
        <w:rPr>
          <w:rFonts w:cs="Times New Roman"/>
          <w:b/>
        </w:rPr>
      </w:pPr>
      <w:r w:rsidRPr="00CD5BE0">
        <w:rPr>
          <w:rFonts w:cs="Times New Roman"/>
          <w:b/>
        </w:rPr>
        <w:t>Recommendation 1</w:t>
      </w:r>
    </w:p>
    <w:p w:rsidR="00CD5BE0" w:rsidRDefault="00CD5BE0" w:rsidP="00CD5BE0">
      <w:pPr>
        <w:pStyle w:val="ListParagraph"/>
        <w:numPr>
          <w:ilvl w:val="0"/>
          <w:numId w:val="8"/>
        </w:numPr>
        <w:rPr>
          <w:rFonts w:cs="Times New Roman"/>
        </w:rPr>
      </w:pPr>
      <w:r w:rsidRPr="00CD5BE0">
        <w:rPr>
          <w:rFonts w:cs="Times New Roman"/>
        </w:rPr>
        <w:t>To create the WCU Award for Excellence in Community Service</w:t>
      </w:r>
    </w:p>
    <w:p w:rsidR="00CD5BE0" w:rsidRPr="00CD5BE0" w:rsidRDefault="00CD5BE0" w:rsidP="00D56EF2">
      <w:pPr>
        <w:pStyle w:val="PlainText"/>
        <w:spacing w:after="200" w:line="276" w:lineRule="auto"/>
        <w:rPr>
          <w:rFonts w:asciiTheme="minorHAnsi" w:hAnsiTheme="minorHAnsi" w:cs="Times New Roman"/>
          <w:sz w:val="22"/>
          <w:szCs w:val="22"/>
        </w:rPr>
      </w:pPr>
      <w:r w:rsidRPr="00CD5BE0">
        <w:rPr>
          <w:rFonts w:asciiTheme="minorHAnsi" w:hAnsiTheme="minorHAnsi" w:cs="Times New Roman"/>
          <w:sz w:val="22"/>
          <w:szCs w:val="22"/>
          <w:u w:val="single"/>
        </w:rPr>
        <w:t>Background:</w:t>
      </w:r>
      <w:r w:rsidRPr="00CD5BE0">
        <w:rPr>
          <w:rFonts w:asciiTheme="minorHAnsi" w:hAnsiTheme="minorHAnsi" w:cs="Times New Roman"/>
          <w:sz w:val="22"/>
          <w:szCs w:val="22"/>
        </w:rPr>
        <w:t xml:space="preserve"> The UNC system has offered an annual Board of Governors’ Award for Excellence in Public Service since 2007. The award recognized the faculty members from the UNC system who demonstrated a “sustained, distinguished, and superb achievement in university public service and outreach, and contributions to improving the quality of life of the citizens of North Carolina.”</w:t>
      </w:r>
      <w:r>
        <w:rPr>
          <w:rFonts w:asciiTheme="minorHAnsi" w:hAnsiTheme="minorHAnsi" w:cs="Times New Roman"/>
          <w:sz w:val="22"/>
          <w:szCs w:val="22"/>
        </w:rPr>
        <w:t xml:space="preserve"> The UNC system recognizes one nominee from each campus. </w:t>
      </w:r>
    </w:p>
    <w:p w:rsidR="00CD5BE0" w:rsidRDefault="00CD5BE0" w:rsidP="00323EA4">
      <w:pPr>
        <w:rPr>
          <w:rFonts w:cs="Times New Roman"/>
        </w:rPr>
      </w:pPr>
      <w:r w:rsidRPr="007B152F">
        <w:rPr>
          <w:rFonts w:cs="Times New Roman"/>
          <w:u w:val="single"/>
        </w:rPr>
        <w:t xml:space="preserve">Rationale: </w:t>
      </w:r>
      <w:r w:rsidR="00323EA4">
        <w:rPr>
          <w:rFonts w:cs="Times New Roman"/>
          <w:u w:val="single"/>
        </w:rPr>
        <w:br/>
      </w:r>
      <w:r w:rsidR="00323EA4" w:rsidRPr="00323EA4">
        <w:rPr>
          <w:rFonts w:cs="Times New Roman"/>
        </w:rPr>
        <w:t>-</w:t>
      </w:r>
      <w:r>
        <w:rPr>
          <w:rFonts w:cs="Times New Roman"/>
        </w:rPr>
        <w:t xml:space="preserve">Given WCU’s emphasis on community engagement, the Office of the Provost has deemed it timely </w:t>
      </w:r>
      <w:r w:rsidR="007B152F">
        <w:rPr>
          <w:rFonts w:cs="Times New Roman"/>
        </w:rPr>
        <w:t>for the institution to reward</w:t>
      </w:r>
      <w:r>
        <w:rPr>
          <w:rFonts w:cs="Times New Roman"/>
        </w:rPr>
        <w:t xml:space="preserve"> faculty whose work directly support this mission and for that work to be </w:t>
      </w:r>
      <w:r w:rsidR="007B152F">
        <w:rPr>
          <w:rFonts w:cs="Times New Roman"/>
        </w:rPr>
        <w:t xml:space="preserve">recognized at both the campus and system level. </w:t>
      </w:r>
      <w:r w:rsidR="00323EA4">
        <w:rPr>
          <w:rFonts w:cs="Times New Roman"/>
        </w:rPr>
        <w:br/>
        <w:t>-Because WCU’s other university-level awards recognize award winners rather than nominees, this process will include the creation of a new WCU-level award (WCU Award for Excellence in Community Service</w:t>
      </w:r>
      <w:r w:rsidR="00D56EF2">
        <w:rPr>
          <w:rFonts w:cs="Times New Roman"/>
        </w:rPr>
        <w:t xml:space="preserve">) , the winner of which will become, upon confirmation by the Provost, WCU’s nominee for the system-wide Board of Governors’ Award for Excellence in Public Service. </w:t>
      </w:r>
      <w:r w:rsidR="00D56EF2">
        <w:rPr>
          <w:rFonts w:cs="Times New Roman"/>
        </w:rPr>
        <w:br/>
        <w:t>-</w:t>
      </w:r>
      <w:r w:rsidR="000C4727">
        <w:rPr>
          <w:rFonts w:cs="Times New Roman"/>
        </w:rPr>
        <w:t>In addition to the GA criteria (stated above), t</w:t>
      </w:r>
      <w:r w:rsidR="00D56EF2">
        <w:rPr>
          <w:rFonts w:cs="Times New Roman"/>
        </w:rPr>
        <w:t>he WCU level award would also include the following two criteria:</w:t>
      </w:r>
    </w:p>
    <w:p w:rsidR="0038325C" w:rsidRPr="00F31983" w:rsidRDefault="0038325C" w:rsidP="00323EA4">
      <w:pPr>
        <w:pStyle w:val="PlainText"/>
        <w:numPr>
          <w:ilvl w:val="0"/>
          <w:numId w:val="9"/>
        </w:numPr>
        <w:rPr>
          <w:rFonts w:asciiTheme="minorHAnsi" w:hAnsiTheme="minorHAnsi" w:cs="Times New Roman"/>
          <w:sz w:val="22"/>
          <w:szCs w:val="22"/>
        </w:rPr>
      </w:pPr>
      <w:r w:rsidRPr="00F31983">
        <w:rPr>
          <w:rFonts w:asciiTheme="minorHAnsi" w:hAnsiTheme="minorHAnsi"/>
          <w:sz w:val="22"/>
          <w:szCs w:val="22"/>
        </w:rPr>
        <w:t>A concrete demonstration of service projects, teaching and learning methods, and/or scholarship that have engaged with and positively influenced specific communities, industries, or other external constituencies, and contributed to the public good</w:t>
      </w:r>
    </w:p>
    <w:p w:rsidR="00D56EF2" w:rsidRPr="00F31983" w:rsidRDefault="00D56EF2" w:rsidP="00323EA4">
      <w:pPr>
        <w:pStyle w:val="PlainText"/>
        <w:numPr>
          <w:ilvl w:val="0"/>
          <w:numId w:val="9"/>
        </w:numPr>
        <w:rPr>
          <w:rFonts w:asciiTheme="minorHAnsi" w:hAnsiTheme="minorHAnsi" w:cs="Times New Roman"/>
          <w:sz w:val="22"/>
          <w:szCs w:val="22"/>
        </w:rPr>
      </w:pPr>
      <w:r w:rsidRPr="00F31983">
        <w:rPr>
          <w:rFonts w:asciiTheme="minorHAnsi" w:hAnsiTheme="minorHAnsi" w:cs="Times New Roman"/>
          <w:sz w:val="22"/>
          <w:szCs w:val="22"/>
        </w:rPr>
        <w:t xml:space="preserve">Clear alignment with WCU’s 2020 Vision </w:t>
      </w:r>
    </w:p>
    <w:p w:rsidR="00323EA4" w:rsidRPr="00323EA4" w:rsidRDefault="00323EA4" w:rsidP="00323EA4">
      <w:pPr>
        <w:rPr>
          <w:rFonts w:cs="Times New Roman"/>
          <w:u w:val="single"/>
        </w:rPr>
      </w:pPr>
    </w:p>
    <w:p w:rsidR="00CD5BE0" w:rsidRDefault="00D56EF2" w:rsidP="00CD5BE0">
      <w:pPr>
        <w:rPr>
          <w:rFonts w:cs="Times New Roman"/>
        </w:rPr>
      </w:pPr>
      <w:r>
        <w:rPr>
          <w:rFonts w:cs="Times New Roman"/>
        </w:rPr>
        <w:t xml:space="preserve">-The nominations for the award will be solicited through the integrated awards process, following the common timeline. Nominees for the award will submit small portfolios, which will be reviewed by the University-level Community Engagement Steering Committee, which includes WCU faculty, staff, administrators, and community partners. This committee will recommend a winner to the Office of the Provost. </w:t>
      </w:r>
      <w:r>
        <w:rPr>
          <w:rFonts w:cs="Times New Roman"/>
        </w:rPr>
        <w:br/>
        <w:t xml:space="preserve">-Winners of the WCU Excellence in Community Service award will receive a plaque, a cash award of $1000, and their status will be formally recognized as part of WCU’s annual spring awards ceremony. </w:t>
      </w:r>
      <w:r w:rsidR="000C4727">
        <w:rPr>
          <w:rFonts w:cs="Times New Roman"/>
        </w:rPr>
        <w:t xml:space="preserve"> The awards process will be facilitated by the Coulter Faculty Commons on behalf of the Office of the Provost. </w:t>
      </w:r>
      <w:r w:rsidR="00FE1A64">
        <w:rPr>
          <w:rFonts w:cs="Times New Roman"/>
        </w:rPr>
        <w:br/>
        <w:t xml:space="preserve">-The final decision to create of this award at the University level is at the discretion of the Chancellor. </w:t>
      </w:r>
    </w:p>
    <w:p w:rsidR="00FE1A64" w:rsidRPr="00CD5BE0" w:rsidRDefault="00FE1A64" w:rsidP="00CD5BE0">
      <w:pPr>
        <w:rPr>
          <w:rFonts w:cs="Times New Roman"/>
        </w:rPr>
      </w:pPr>
    </w:p>
    <w:p w:rsidR="00CD5BE0" w:rsidRDefault="00CD5BE0" w:rsidP="00CD5BE0">
      <w:pPr>
        <w:pStyle w:val="PlainText"/>
        <w:rPr>
          <w:rFonts w:ascii="Times New Roman" w:hAnsi="Times New Roman" w:cs="Times New Roman"/>
          <w:b/>
          <w:i/>
          <w:sz w:val="22"/>
          <w:szCs w:val="22"/>
        </w:rPr>
      </w:pPr>
    </w:p>
    <w:p w:rsidR="00CD5BE0" w:rsidRDefault="00CD5BE0" w:rsidP="00CD5BE0">
      <w:pPr>
        <w:pStyle w:val="PlainText"/>
        <w:rPr>
          <w:rFonts w:ascii="Times New Roman" w:hAnsi="Times New Roman" w:cs="Times New Roman"/>
          <w:sz w:val="22"/>
          <w:szCs w:val="22"/>
        </w:rPr>
      </w:pPr>
    </w:p>
    <w:p w:rsidR="00CD5BE0" w:rsidRDefault="00CD5BE0" w:rsidP="00CD5BE0">
      <w:pPr>
        <w:pStyle w:val="PlainText"/>
        <w:rPr>
          <w:rFonts w:ascii="Times New Roman" w:hAnsi="Times New Roman" w:cs="Times New Roman"/>
          <w:sz w:val="22"/>
          <w:szCs w:val="22"/>
        </w:rPr>
      </w:pPr>
      <w:r>
        <w:rPr>
          <w:rFonts w:ascii="Times New Roman" w:hAnsi="Times New Roman" w:cs="Times New Roman"/>
          <w:sz w:val="22"/>
          <w:szCs w:val="22"/>
        </w:rPr>
        <w:t xml:space="preserve">. </w:t>
      </w:r>
    </w:p>
    <w:p w:rsidR="00CD5BE0" w:rsidRDefault="00CD5BE0" w:rsidP="00CD5BE0">
      <w:pPr>
        <w:pStyle w:val="PlainText"/>
        <w:rPr>
          <w:rFonts w:ascii="Times New Roman" w:hAnsi="Times New Roman" w:cs="Times New Roman"/>
          <w:sz w:val="22"/>
          <w:szCs w:val="22"/>
        </w:rPr>
      </w:pPr>
    </w:p>
    <w:p w:rsidR="00CD5BE0" w:rsidRDefault="00CD5BE0" w:rsidP="00CD5BE0">
      <w:pPr>
        <w:pStyle w:val="PlainText"/>
        <w:rPr>
          <w:rFonts w:ascii="Times New Roman" w:hAnsi="Times New Roman" w:cs="Times New Roman"/>
          <w:sz w:val="16"/>
          <w:szCs w:val="16"/>
        </w:rPr>
      </w:pPr>
    </w:p>
    <w:p w:rsidR="00CD5BE0" w:rsidRDefault="00CD5BE0" w:rsidP="00CD5BE0">
      <w:pPr>
        <w:pStyle w:val="PlainText"/>
        <w:rPr>
          <w:rFonts w:ascii="Times New Roman" w:hAnsi="Times New Roman" w:cs="Times New Roman"/>
          <w:sz w:val="20"/>
          <w:szCs w:val="20"/>
        </w:rPr>
      </w:pPr>
    </w:p>
    <w:p w:rsidR="001E39B9" w:rsidRPr="001E39B9" w:rsidRDefault="001E39B9" w:rsidP="001E39B9">
      <w:pPr>
        <w:rPr>
          <w:rFonts w:cs="Times New Roman"/>
        </w:rPr>
      </w:pPr>
      <w:r>
        <w:rPr>
          <w:rFonts w:cs="Times New Roman"/>
          <w:b/>
        </w:rPr>
        <w:t>Recommendation 2</w:t>
      </w:r>
      <w:r w:rsidRPr="001E39B9">
        <w:rPr>
          <w:rFonts w:cs="Times New Roman"/>
        </w:rPr>
        <w:t xml:space="preserve"> </w:t>
      </w:r>
    </w:p>
    <w:p w:rsidR="00803F66" w:rsidRDefault="00803F66" w:rsidP="00803F66">
      <w:pPr>
        <w:pStyle w:val="ListParagraph"/>
        <w:numPr>
          <w:ilvl w:val="0"/>
          <w:numId w:val="7"/>
        </w:numPr>
        <w:rPr>
          <w:rFonts w:cs="Times New Roman"/>
        </w:rPr>
      </w:pPr>
      <w:r>
        <w:rPr>
          <w:rFonts w:cs="Times New Roman"/>
        </w:rPr>
        <w:t xml:space="preserve">To eliminate the Jay M. Robinson </w:t>
      </w:r>
      <w:proofErr w:type="spellStart"/>
      <w:r>
        <w:rPr>
          <w:rFonts w:cs="Times New Roman"/>
        </w:rPr>
        <w:t>eTeaching</w:t>
      </w:r>
      <w:proofErr w:type="spellEnd"/>
      <w:r>
        <w:rPr>
          <w:rFonts w:cs="Times New Roman"/>
        </w:rPr>
        <w:t xml:space="preserve"> Award </w:t>
      </w:r>
    </w:p>
    <w:p w:rsidR="001E39B9" w:rsidRDefault="00803F66" w:rsidP="00803F66">
      <w:pPr>
        <w:rPr>
          <w:rFonts w:cs="Times New Roman"/>
        </w:rPr>
      </w:pPr>
      <w:r w:rsidRPr="001E39B9">
        <w:rPr>
          <w:rFonts w:cs="Times New Roman"/>
          <w:u w:val="single"/>
        </w:rPr>
        <w:t>Background:</w:t>
      </w:r>
      <w:r>
        <w:rPr>
          <w:rFonts w:cs="Times New Roman"/>
        </w:rPr>
        <w:t xml:space="preserve"> </w:t>
      </w:r>
      <w:r w:rsidRPr="00803F66">
        <w:rPr>
          <w:rFonts w:cs="Times New Roman"/>
        </w:rPr>
        <w:t xml:space="preserve">The Jay M. Robinson award was started in 2006 by the Jay M. Robinson Distinguished Professor, John </w:t>
      </w:r>
      <w:proofErr w:type="spellStart"/>
      <w:r w:rsidRPr="00803F66">
        <w:rPr>
          <w:rFonts w:cs="Times New Roman"/>
        </w:rPr>
        <w:t>LeBaron</w:t>
      </w:r>
      <w:proofErr w:type="spellEnd"/>
      <w:r w:rsidRPr="00803F66">
        <w:rPr>
          <w:rFonts w:cs="Times New Roman"/>
        </w:rPr>
        <w:t xml:space="preserve">, whose office was then housed in the Coulter Faculty Center. Since 2006, the award has been given to recognize excellence in on-line teaching and includes a $1000 award, paid for from the Jay M. Robinson Distinguished Professor funds. </w:t>
      </w:r>
    </w:p>
    <w:p w:rsidR="00803F66" w:rsidRDefault="001E39B9" w:rsidP="00803F66">
      <w:pPr>
        <w:rPr>
          <w:rFonts w:cs="Times New Roman"/>
        </w:rPr>
      </w:pPr>
      <w:r w:rsidRPr="001E39B9">
        <w:rPr>
          <w:rFonts w:cs="Times New Roman"/>
          <w:u w:val="single"/>
        </w:rPr>
        <w:t xml:space="preserve">Rationale: </w:t>
      </w:r>
      <w:r w:rsidR="00803F66" w:rsidRPr="001E39B9">
        <w:rPr>
          <w:rFonts w:cs="Times New Roman"/>
          <w:u w:val="single"/>
        </w:rPr>
        <w:br/>
      </w:r>
      <w:r w:rsidR="00803F66">
        <w:rPr>
          <w:rFonts w:cs="Times New Roman"/>
        </w:rPr>
        <w:t xml:space="preserve">-After Dr. </w:t>
      </w:r>
      <w:proofErr w:type="spellStart"/>
      <w:r w:rsidR="00803F66">
        <w:rPr>
          <w:rFonts w:cs="Times New Roman"/>
        </w:rPr>
        <w:t>LeBaron’s</w:t>
      </w:r>
      <w:proofErr w:type="spellEnd"/>
      <w:r w:rsidR="00803F66">
        <w:rPr>
          <w:rFonts w:cs="Times New Roman"/>
        </w:rPr>
        <w:t xml:space="preserve"> departure, the position of Jay M. Robinson Distinguished Professor has remained vacant and the most recent search curtailed. This has made it difficult to revise and continue to improve the award program and review of nominees, in absence of its benefactor. </w:t>
      </w:r>
    </w:p>
    <w:p w:rsidR="00803F66" w:rsidRDefault="00803F66" w:rsidP="00803F66">
      <w:pPr>
        <w:rPr>
          <w:rFonts w:cs="Times New Roman"/>
        </w:rPr>
      </w:pPr>
      <w:r>
        <w:rPr>
          <w:rFonts w:cs="Times New Roman"/>
        </w:rPr>
        <w:t>-The office has also moved from the Coulter Faculty Commons to the College of Education and Allied Professions. This has resulted in a number of changes to the responsibilities of the distinguished professorship, many of which suggest that sponsorship of this award would be less in keeping with the tenor and goals of the</w:t>
      </w:r>
      <w:r w:rsidR="001E39B9">
        <w:rPr>
          <w:rFonts w:cs="Times New Roman"/>
        </w:rPr>
        <w:t xml:space="preserve"> position. </w:t>
      </w:r>
      <w:r w:rsidR="001E39B9">
        <w:rPr>
          <w:rFonts w:cs="Times New Roman"/>
        </w:rPr>
        <w:br/>
      </w:r>
      <w:r w:rsidR="001E39B9">
        <w:rPr>
          <w:rFonts w:cs="Times New Roman"/>
        </w:rPr>
        <w:br/>
        <w:t>-As appendix 2</w:t>
      </w:r>
      <w:r>
        <w:rPr>
          <w:rFonts w:cs="Times New Roman"/>
        </w:rPr>
        <w:t xml:space="preserve"> demonstrates, participation in the Jay M. Robinson award nomination process is among the lowest of all University-level awards. This is particularly telling as the nomination is a simply button click and no extra text or documentation is required to nominate for the award. </w:t>
      </w:r>
    </w:p>
    <w:p w:rsidR="00803F66" w:rsidRDefault="00803F66" w:rsidP="00803F66">
      <w:pPr>
        <w:rPr>
          <w:rFonts w:cs="Times New Roman"/>
        </w:rPr>
      </w:pPr>
      <w:r>
        <w:rPr>
          <w:rFonts w:cs="Times New Roman"/>
        </w:rPr>
        <w:t>-Pedagogically speaking, WCU has been striving to do more to break down the separation between on-line teaching and other forms of instructional delivery. While there are challenges specific to on-line teaching and learning, most teaching strategies and philosophies apply across a variety of delivery modes. This fits with trends in instruction, as the growing ubiquity of the LMS has resulted in nearly all courses at WCU having a blend on-line and face-to-face formats. Finally, those that teach on-line or hybrid courses are equally eligible to be nominated for all major University and coll</w:t>
      </w:r>
      <w:r w:rsidR="001E39B9">
        <w:rPr>
          <w:rFonts w:cs="Times New Roman"/>
        </w:rPr>
        <w:t>ege-level teaching awards---several</w:t>
      </w:r>
      <w:r>
        <w:rPr>
          <w:rFonts w:cs="Times New Roman"/>
        </w:rPr>
        <w:t xml:space="preserve"> have already been nominated and a handful have won. </w:t>
      </w:r>
    </w:p>
    <w:p w:rsidR="00803F66" w:rsidRDefault="00803F66" w:rsidP="00803F66">
      <w:pPr>
        <w:rPr>
          <w:rFonts w:cs="Times New Roman"/>
        </w:rPr>
      </w:pPr>
      <w:r>
        <w:rPr>
          <w:rFonts w:cs="Times New Roman"/>
        </w:rPr>
        <w:t xml:space="preserve">-In the summer of 2013, the Coulter Faculty Commons and the Division of Educational Outreach chaired a task force that resulted in the adoption of Quality Matters, a nationally recognized program that uses a distinctive peer-review structure for assessing the quality of on-line or hybrid courses. Participation in Quality Matters allows for the recognition of high-quality on-line courses at the national level and through a highly credible external peer evaluation system. </w:t>
      </w:r>
      <w:r w:rsidR="001E39B9">
        <w:rPr>
          <w:rFonts w:cs="Times New Roman"/>
        </w:rPr>
        <w:t>In the long run, t</w:t>
      </w:r>
      <w:r>
        <w:rPr>
          <w:rFonts w:cs="Times New Roman"/>
        </w:rPr>
        <w:t xml:space="preserve">he Quality Matters adoption would allow the Jay M. Robinson Award to be replaced by a more viable and higher level form of recognition. </w:t>
      </w:r>
    </w:p>
    <w:p w:rsidR="00803F66" w:rsidRPr="00803F66" w:rsidRDefault="00803F66" w:rsidP="00803F66">
      <w:pPr>
        <w:rPr>
          <w:rFonts w:cs="Times New Roman"/>
        </w:rPr>
      </w:pPr>
      <w:r>
        <w:rPr>
          <w:rFonts w:cs="Times New Roman"/>
        </w:rPr>
        <w:t xml:space="preserve"> </w:t>
      </w:r>
    </w:p>
    <w:p w:rsidR="00A40828" w:rsidRDefault="00A40828">
      <w:pPr>
        <w:rPr>
          <w:rFonts w:cs="Times New Roman"/>
        </w:rPr>
      </w:pPr>
    </w:p>
    <w:p w:rsidR="00A40828" w:rsidRDefault="00A40828">
      <w:pPr>
        <w:rPr>
          <w:rFonts w:cs="Times New Roman"/>
        </w:rPr>
      </w:pPr>
    </w:p>
    <w:p w:rsidR="001E39B9" w:rsidRPr="001E39B9" w:rsidRDefault="001E39B9" w:rsidP="001E39B9">
      <w:pPr>
        <w:rPr>
          <w:rFonts w:cs="Times New Roman"/>
          <w:b/>
        </w:rPr>
      </w:pPr>
      <w:r w:rsidRPr="001E39B9">
        <w:rPr>
          <w:rFonts w:cs="Times New Roman"/>
          <w:b/>
        </w:rPr>
        <w:t>Recommendation 3</w:t>
      </w:r>
    </w:p>
    <w:p w:rsidR="00A40828" w:rsidRPr="001E39B9" w:rsidRDefault="001E39B9" w:rsidP="00953E0F">
      <w:pPr>
        <w:pStyle w:val="ListParagraph"/>
        <w:numPr>
          <w:ilvl w:val="0"/>
          <w:numId w:val="7"/>
        </w:numPr>
        <w:rPr>
          <w:rFonts w:cs="Times New Roman"/>
          <w:i/>
        </w:rPr>
      </w:pPr>
      <w:r>
        <w:rPr>
          <w:rFonts w:cs="Times New Roman"/>
        </w:rPr>
        <w:t>To replace</w:t>
      </w:r>
      <w:r w:rsidR="00953E0F">
        <w:rPr>
          <w:rFonts w:cs="Times New Roman"/>
        </w:rPr>
        <w:t xml:space="preserve"> the </w:t>
      </w:r>
      <w:r>
        <w:rPr>
          <w:rFonts w:cs="Times New Roman"/>
        </w:rPr>
        <w:t>Scholarship of Teaching and Learning (</w:t>
      </w:r>
      <w:proofErr w:type="spellStart"/>
      <w:r w:rsidR="00953E0F">
        <w:rPr>
          <w:rFonts w:cs="Times New Roman"/>
        </w:rPr>
        <w:t>SoTL</w:t>
      </w:r>
      <w:proofErr w:type="spellEnd"/>
      <w:r>
        <w:rPr>
          <w:rFonts w:cs="Times New Roman"/>
        </w:rPr>
        <w:t>)</w:t>
      </w:r>
      <w:r w:rsidR="00953E0F">
        <w:rPr>
          <w:rFonts w:cs="Times New Roman"/>
        </w:rPr>
        <w:t xml:space="preserve"> Scholar Award</w:t>
      </w:r>
      <w:r w:rsidR="00D37585">
        <w:rPr>
          <w:rFonts w:cs="Times New Roman"/>
        </w:rPr>
        <w:t xml:space="preserve">  </w:t>
      </w:r>
      <w:r>
        <w:rPr>
          <w:rFonts w:cs="Times New Roman"/>
        </w:rPr>
        <w:t xml:space="preserve">with the </w:t>
      </w:r>
      <w:r w:rsidR="00232F90">
        <w:rPr>
          <w:rFonts w:cs="Times New Roman"/>
          <w:i/>
        </w:rPr>
        <w:t xml:space="preserve">Innovative Scholarship Award </w:t>
      </w:r>
    </w:p>
    <w:p w:rsidR="00953E0F" w:rsidRPr="00953E0F" w:rsidRDefault="00953E0F" w:rsidP="00953E0F">
      <w:pPr>
        <w:rPr>
          <w:rFonts w:cs="Times New Roman"/>
        </w:rPr>
      </w:pPr>
      <w:r w:rsidRPr="001E39B9">
        <w:rPr>
          <w:rFonts w:cs="Times New Roman"/>
          <w:u w:val="single"/>
        </w:rPr>
        <w:t>Background:</w:t>
      </w:r>
      <w:r>
        <w:rPr>
          <w:rFonts w:cs="Times New Roman"/>
        </w:rPr>
        <w:t xml:space="preserve"> The Scholarship of Teaching and Learning (</w:t>
      </w:r>
      <w:proofErr w:type="spellStart"/>
      <w:r>
        <w:rPr>
          <w:rFonts w:cs="Times New Roman"/>
        </w:rPr>
        <w:t>SoTL</w:t>
      </w:r>
      <w:proofErr w:type="spellEnd"/>
      <w:r>
        <w:rPr>
          <w:rFonts w:cs="Times New Roman"/>
        </w:rPr>
        <w:t xml:space="preserve">) Scholar Award, started in the early 2000s, recognized a faculty member (solo or as part of a team) </w:t>
      </w:r>
      <w:r>
        <w:t xml:space="preserve">who engages in exemplary scholarship that focuses on teaching and student learning and then applies the results of that scholarship so that students experience significant, enduring learning as a result of the </w:t>
      </w:r>
      <w:proofErr w:type="spellStart"/>
      <w:r>
        <w:t>SoTL</w:t>
      </w:r>
      <w:proofErr w:type="spellEnd"/>
      <w:r>
        <w:t xml:space="preserve"> project. Award winners receive $1000, paid for by the Off</w:t>
      </w:r>
      <w:r w:rsidR="001E39B9">
        <w:t>ice of the Provost and a plaque</w:t>
      </w:r>
      <w:r>
        <w:t xml:space="preserve">. </w:t>
      </w:r>
      <w:r w:rsidR="00D37585">
        <w:t xml:space="preserve"> </w:t>
      </w:r>
      <w:r w:rsidR="001E39B9">
        <w:t>Funding is provided by UNC general administration (stipend) and the Coulter Faculty Commons (plaque)</w:t>
      </w:r>
      <w:r w:rsidR="00D37585">
        <w:t xml:space="preserve">. </w:t>
      </w:r>
    </w:p>
    <w:p w:rsidR="00A40828" w:rsidRPr="001E39B9" w:rsidRDefault="00953E0F">
      <w:pPr>
        <w:rPr>
          <w:rFonts w:cs="Times New Roman"/>
          <w:u w:val="single"/>
        </w:rPr>
      </w:pPr>
      <w:r w:rsidRPr="001E39B9">
        <w:rPr>
          <w:rFonts w:cs="Times New Roman"/>
          <w:u w:val="single"/>
        </w:rPr>
        <w:t xml:space="preserve">Rationale: </w:t>
      </w:r>
    </w:p>
    <w:p w:rsidR="00953E0F" w:rsidRDefault="00953E0F">
      <w:pPr>
        <w:rPr>
          <w:rFonts w:cs="Times New Roman"/>
        </w:rPr>
      </w:pPr>
      <w:r>
        <w:rPr>
          <w:rFonts w:cs="Times New Roman"/>
        </w:rPr>
        <w:t xml:space="preserve">The </w:t>
      </w:r>
      <w:proofErr w:type="spellStart"/>
      <w:r>
        <w:rPr>
          <w:rFonts w:cs="Times New Roman"/>
        </w:rPr>
        <w:t>SoTL</w:t>
      </w:r>
      <w:proofErr w:type="spellEnd"/>
      <w:r>
        <w:rPr>
          <w:rFonts w:cs="Times New Roman"/>
        </w:rPr>
        <w:t xml:space="preserve"> Scholar Award committee has provided consistent feedback regarding the declining </w:t>
      </w:r>
      <w:r w:rsidR="00D37585">
        <w:rPr>
          <w:rFonts w:cs="Times New Roman"/>
        </w:rPr>
        <w:t xml:space="preserve">quantity and </w:t>
      </w:r>
      <w:r>
        <w:rPr>
          <w:rFonts w:cs="Times New Roman"/>
        </w:rPr>
        <w:t xml:space="preserve">quality of submissions for this award. For the past two years, they have recommended that the award be expanded </w:t>
      </w:r>
      <w:r w:rsidR="00D37585">
        <w:rPr>
          <w:rFonts w:cs="Times New Roman"/>
        </w:rPr>
        <w:t>to include other forms of scholarship, as defined by Ernest Boyer (1</w:t>
      </w:r>
      <w:r w:rsidR="001E39B9">
        <w:rPr>
          <w:rFonts w:cs="Times New Roman"/>
        </w:rPr>
        <w:t>996) and recognized in WCU’s CRD</w:t>
      </w:r>
      <w:r w:rsidR="00D37585">
        <w:rPr>
          <w:rFonts w:cs="Times New Roman"/>
        </w:rPr>
        <w:t xml:space="preserve"> process. </w:t>
      </w:r>
    </w:p>
    <w:p w:rsidR="00D37585" w:rsidRDefault="00D37585">
      <w:pPr>
        <w:rPr>
          <w:rFonts w:cs="Times New Roman"/>
        </w:rPr>
      </w:pPr>
      <w:r>
        <w:rPr>
          <w:rFonts w:cs="Times New Roman"/>
        </w:rPr>
        <w:t>The Coulter Faculty Commons has documented a steady increase in the number of WCU faculty (and staff) pursuing</w:t>
      </w:r>
      <w:r w:rsidR="001E39B9">
        <w:rPr>
          <w:rFonts w:cs="Times New Roman"/>
        </w:rPr>
        <w:t xml:space="preserve"> engaged teaching and scholarship</w:t>
      </w:r>
      <w:r>
        <w:rPr>
          <w:rFonts w:cs="Times New Roman"/>
        </w:rPr>
        <w:t xml:space="preserve">, an emphasis that fits well with WCU’s mission as an engaged institution and supports its Carnegie designation. To expand the award to include such </w:t>
      </w:r>
      <w:r w:rsidR="001E39B9">
        <w:rPr>
          <w:rFonts w:cs="Times New Roman"/>
        </w:rPr>
        <w:t xml:space="preserve">endeavors </w:t>
      </w:r>
      <w:r>
        <w:rPr>
          <w:rFonts w:cs="Times New Roman"/>
        </w:rPr>
        <w:t xml:space="preserve">would seem to fit strategically as well as be in keeping with the evolution of practice. </w:t>
      </w:r>
    </w:p>
    <w:p w:rsidR="00232F90" w:rsidRPr="00232F90" w:rsidRDefault="001E39B9" w:rsidP="00232F90">
      <w:pPr>
        <w:pStyle w:val="NormalWeb"/>
        <w:shd w:val="clear" w:color="auto" w:fill="FFFFFF"/>
        <w:spacing w:before="0" w:beforeAutospacing="0" w:after="200"/>
        <w:rPr>
          <w:rFonts w:asciiTheme="minorHAnsi" w:hAnsiTheme="minorHAnsi" w:cs="Arial"/>
          <w:color w:val="000000"/>
          <w:sz w:val="22"/>
          <w:szCs w:val="22"/>
          <w:lang w:val="en"/>
        </w:rPr>
      </w:pPr>
      <w:r w:rsidRPr="00232F90">
        <w:rPr>
          <w:rFonts w:asciiTheme="minorHAnsi" w:hAnsiTheme="minorHAnsi"/>
          <w:sz w:val="22"/>
          <w:szCs w:val="22"/>
        </w:rPr>
        <w:t xml:space="preserve">The </w:t>
      </w:r>
      <w:r w:rsidR="00232F90" w:rsidRPr="00232F90">
        <w:rPr>
          <w:rFonts w:asciiTheme="minorHAnsi" w:hAnsiTheme="minorHAnsi"/>
          <w:sz w:val="22"/>
          <w:szCs w:val="22"/>
        </w:rPr>
        <w:t xml:space="preserve">Innovative Scholarship Award will recognize those faculty </w:t>
      </w:r>
      <w:r w:rsidR="00232F90" w:rsidRPr="00232F90">
        <w:rPr>
          <w:rFonts w:asciiTheme="minorHAnsi" w:hAnsiTheme="minorHAnsi" w:cs="Arial"/>
          <w:color w:val="000000"/>
          <w:sz w:val="22"/>
          <w:szCs w:val="22"/>
          <w:lang w:val="en"/>
        </w:rPr>
        <w:t xml:space="preserve">who engage in exemplary scholarship in areas outside of the scholarship of discovery, including integration, engagement, and teaching and learning. </w:t>
      </w:r>
    </w:p>
    <w:p w:rsidR="00232F90" w:rsidRPr="00232F90" w:rsidRDefault="00232F90" w:rsidP="00232F90">
      <w:pPr>
        <w:pStyle w:val="NormalWeb"/>
        <w:numPr>
          <w:ilvl w:val="0"/>
          <w:numId w:val="7"/>
        </w:numPr>
        <w:shd w:val="clear" w:color="auto" w:fill="FFFFFF"/>
        <w:spacing w:before="0" w:beforeAutospacing="0" w:after="200"/>
        <w:rPr>
          <w:rFonts w:asciiTheme="minorHAnsi" w:hAnsiTheme="minorHAnsi" w:cs="Arial"/>
          <w:color w:val="000000"/>
          <w:sz w:val="22"/>
          <w:szCs w:val="22"/>
          <w:lang w:val="en"/>
        </w:rPr>
      </w:pPr>
      <w:r w:rsidRPr="00232F90">
        <w:rPr>
          <w:rFonts w:asciiTheme="minorHAnsi" w:hAnsiTheme="minorHAnsi" w:cs="Arial"/>
          <w:color w:val="000000"/>
          <w:sz w:val="22"/>
          <w:szCs w:val="22"/>
          <w:lang w:val="en"/>
        </w:rPr>
        <w:t xml:space="preserve">Exemplary scholarship will be evaluated using the standards outlined in Glassick, Huber, and Maeroff, Scholarship Assessed: Evaluation of the Professoriate (Jossey-Bass,1997). </w:t>
      </w:r>
    </w:p>
    <w:p w:rsidR="00232F90" w:rsidRDefault="00232F90" w:rsidP="00232F90">
      <w:pPr>
        <w:pStyle w:val="NormalWeb"/>
        <w:numPr>
          <w:ilvl w:val="0"/>
          <w:numId w:val="7"/>
        </w:numPr>
        <w:shd w:val="clear" w:color="auto" w:fill="FFFFFF"/>
        <w:spacing w:before="0" w:beforeAutospacing="0" w:after="200"/>
        <w:rPr>
          <w:rFonts w:asciiTheme="minorHAnsi" w:hAnsiTheme="minorHAnsi" w:cs="Arial"/>
          <w:color w:val="000000"/>
          <w:sz w:val="22"/>
          <w:szCs w:val="22"/>
          <w:lang w:val="en"/>
        </w:rPr>
      </w:pPr>
      <w:r w:rsidRPr="00232F90">
        <w:rPr>
          <w:rFonts w:asciiTheme="minorHAnsi" w:hAnsiTheme="minorHAnsi" w:cs="Arial"/>
          <w:color w:val="000000"/>
          <w:sz w:val="22"/>
          <w:szCs w:val="22"/>
          <w:lang w:val="en"/>
        </w:rPr>
        <w:t xml:space="preserve">The Innovative Scholarship Award may be awarded to: 1) one campus-wide recipient; or 2) joint recipients for shared projects. </w:t>
      </w:r>
    </w:p>
    <w:p w:rsidR="00232F90" w:rsidRPr="00232F90" w:rsidRDefault="00232F90" w:rsidP="00232F90">
      <w:pPr>
        <w:pStyle w:val="NormalWeb"/>
        <w:numPr>
          <w:ilvl w:val="0"/>
          <w:numId w:val="7"/>
        </w:numPr>
        <w:shd w:val="clear" w:color="auto" w:fill="FFFFFF"/>
        <w:spacing w:before="0" w:beforeAutospacing="0" w:after="200"/>
        <w:rPr>
          <w:rFonts w:asciiTheme="minorHAnsi" w:hAnsiTheme="minorHAnsi" w:cs="Arial"/>
          <w:color w:val="000000"/>
          <w:sz w:val="22"/>
          <w:szCs w:val="22"/>
          <w:lang w:val="en"/>
        </w:rPr>
      </w:pPr>
      <w:r>
        <w:rPr>
          <w:rFonts w:asciiTheme="minorHAnsi" w:hAnsiTheme="minorHAnsi" w:cs="Arial"/>
          <w:color w:val="000000"/>
          <w:sz w:val="22"/>
          <w:szCs w:val="22"/>
          <w:lang w:val="en"/>
        </w:rPr>
        <w:t xml:space="preserve">Particular emphasis will be given to research that reflects innovative types and forms of scholarship </w:t>
      </w:r>
    </w:p>
    <w:p w:rsidR="00D37585" w:rsidRDefault="00CD5BE0">
      <w:pPr>
        <w:rPr>
          <w:rFonts w:cs="Times New Roman"/>
        </w:rPr>
      </w:pPr>
      <w:r>
        <w:rPr>
          <w:rFonts w:cs="Times New Roman"/>
        </w:rPr>
        <w:t xml:space="preserve">The logistics of the award </w:t>
      </w:r>
      <w:r w:rsidR="000C4727">
        <w:rPr>
          <w:rFonts w:cs="Times New Roman"/>
        </w:rPr>
        <w:t xml:space="preserve">process </w:t>
      </w:r>
      <w:r>
        <w:rPr>
          <w:rFonts w:cs="Times New Roman"/>
        </w:rPr>
        <w:t xml:space="preserve">will remain largely unchanged. </w:t>
      </w:r>
      <w:r w:rsidR="001E39B9">
        <w:rPr>
          <w:rFonts w:cs="Times New Roman"/>
        </w:rPr>
        <w:t xml:space="preserve">Nomination for the award will be incorporated into WCU’s integrated awards process (see above) and nominees will be invited to submit dossiers documenting the outcomes of their projects to the award committee (repurposed from the </w:t>
      </w:r>
      <w:proofErr w:type="spellStart"/>
      <w:r w:rsidR="001E39B9">
        <w:rPr>
          <w:rFonts w:cs="Times New Roman"/>
        </w:rPr>
        <w:t>SoTL</w:t>
      </w:r>
      <w:proofErr w:type="spellEnd"/>
      <w:r w:rsidR="001E39B9">
        <w:rPr>
          <w:rFonts w:cs="Times New Roman"/>
        </w:rPr>
        <w:t xml:space="preserve"> Scholar Award Committee). The process will be facilitated by the Coulter Faculty Commons on behalf of the Office of the Provost. </w:t>
      </w:r>
    </w:p>
    <w:p w:rsidR="00232F90" w:rsidRDefault="00232F90">
      <w:pPr>
        <w:rPr>
          <w:rFonts w:cs="Times New Roman"/>
        </w:rPr>
      </w:pPr>
    </w:p>
    <w:p w:rsidR="0038325C" w:rsidRDefault="0038325C">
      <w:pPr>
        <w:rPr>
          <w:rFonts w:cs="Times New Roman"/>
          <w:b/>
        </w:rPr>
      </w:pPr>
    </w:p>
    <w:p w:rsidR="001E39B9" w:rsidRPr="00D56EF2" w:rsidRDefault="001E39B9">
      <w:pPr>
        <w:rPr>
          <w:rFonts w:cs="Times New Roman"/>
        </w:rPr>
      </w:pPr>
      <w:r>
        <w:rPr>
          <w:rFonts w:cs="Times New Roman"/>
          <w:b/>
        </w:rPr>
        <w:t xml:space="preserve">Appendix 1: </w:t>
      </w:r>
    </w:p>
    <w:p w:rsidR="00354D31" w:rsidRPr="00FA33ED" w:rsidRDefault="00FA33ED">
      <w:pPr>
        <w:rPr>
          <w:rFonts w:cs="Times New Roman"/>
          <w:b/>
        </w:rPr>
      </w:pPr>
      <w:r w:rsidRPr="00FA33ED">
        <w:rPr>
          <w:rFonts w:cs="Times New Roman"/>
          <w:b/>
        </w:rPr>
        <w:t>INTEGRATED AWARDS PARTICIPATION 2011-13</w:t>
      </w:r>
    </w:p>
    <w:tbl>
      <w:tblPr>
        <w:tblStyle w:val="TableGrid"/>
        <w:tblW w:w="0" w:type="auto"/>
        <w:tblLook w:val="04A0" w:firstRow="1" w:lastRow="0" w:firstColumn="1" w:lastColumn="0" w:noHBand="0" w:noVBand="1"/>
      </w:tblPr>
      <w:tblGrid>
        <w:gridCol w:w="1915"/>
        <w:gridCol w:w="1915"/>
        <w:gridCol w:w="1915"/>
        <w:gridCol w:w="1915"/>
        <w:gridCol w:w="1916"/>
      </w:tblGrid>
      <w:tr w:rsidR="00FA33ED" w:rsidTr="00FA33ED">
        <w:tc>
          <w:tcPr>
            <w:tcW w:w="1915" w:type="dxa"/>
          </w:tcPr>
          <w:p w:rsidR="00FA33ED" w:rsidRDefault="00FA33ED" w:rsidP="00FA33ED">
            <w:pPr>
              <w:rPr>
                <w:rFonts w:cs="Times New Roman"/>
              </w:rPr>
            </w:pPr>
          </w:p>
        </w:tc>
        <w:tc>
          <w:tcPr>
            <w:tcW w:w="1915" w:type="dxa"/>
          </w:tcPr>
          <w:p w:rsidR="00FA33ED" w:rsidRDefault="00FA33ED" w:rsidP="00FA33ED">
            <w:pPr>
              <w:rPr>
                <w:rFonts w:cs="Times New Roman"/>
              </w:rPr>
            </w:pPr>
            <w:r>
              <w:rPr>
                <w:rFonts w:cs="Times New Roman"/>
              </w:rPr>
              <w:t>Students</w:t>
            </w:r>
          </w:p>
        </w:tc>
        <w:tc>
          <w:tcPr>
            <w:tcW w:w="1915" w:type="dxa"/>
          </w:tcPr>
          <w:p w:rsidR="00FA33ED" w:rsidRDefault="00FA33ED" w:rsidP="00FA33ED">
            <w:pPr>
              <w:rPr>
                <w:rFonts w:cs="Times New Roman"/>
              </w:rPr>
            </w:pPr>
            <w:r>
              <w:rPr>
                <w:rFonts w:cs="Times New Roman"/>
              </w:rPr>
              <w:t>%</w:t>
            </w:r>
          </w:p>
        </w:tc>
        <w:tc>
          <w:tcPr>
            <w:tcW w:w="1915" w:type="dxa"/>
          </w:tcPr>
          <w:p w:rsidR="00FA33ED" w:rsidRDefault="00FA33ED" w:rsidP="00FA33ED">
            <w:pPr>
              <w:rPr>
                <w:rFonts w:cs="Times New Roman"/>
              </w:rPr>
            </w:pPr>
            <w:r>
              <w:rPr>
                <w:rFonts w:cs="Times New Roman"/>
              </w:rPr>
              <w:t xml:space="preserve">Faculty  </w:t>
            </w:r>
          </w:p>
        </w:tc>
        <w:tc>
          <w:tcPr>
            <w:tcW w:w="1916" w:type="dxa"/>
          </w:tcPr>
          <w:p w:rsidR="00FA33ED" w:rsidRDefault="00FA33ED" w:rsidP="00FA33ED">
            <w:pPr>
              <w:rPr>
                <w:rFonts w:cs="Times New Roman"/>
              </w:rPr>
            </w:pPr>
            <w:r>
              <w:rPr>
                <w:rFonts w:cs="Times New Roman"/>
              </w:rPr>
              <w:t>%</w:t>
            </w:r>
          </w:p>
        </w:tc>
      </w:tr>
      <w:tr w:rsidR="00FA33ED" w:rsidTr="00FA33ED">
        <w:tc>
          <w:tcPr>
            <w:tcW w:w="1915" w:type="dxa"/>
          </w:tcPr>
          <w:p w:rsidR="00FA33ED" w:rsidRDefault="00FA33ED" w:rsidP="00FA33ED">
            <w:pPr>
              <w:rPr>
                <w:rFonts w:cs="Times New Roman"/>
              </w:rPr>
            </w:pPr>
            <w:r>
              <w:rPr>
                <w:rFonts w:cs="Times New Roman"/>
              </w:rPr>
              <w:t>2011-12</w:t>
            </w:r>
          </w:p>
        </w:tc>
        <w:tc>
          <w:tcPr>
            <w:tcW w:w="1915" w:type="dxa"/>
          </w:tcPr>
          <w:p w:rsidR="00FA33ED" w:rsidRDefault="00FA33ED" w:rsidP="00FA33ED">
            <w:pPr>
              <w:rPr>
                <w:rFonts w:cs="Times New Roman"/>
              </w:rPr>
            </w:pPr>
            <w:r>
              <w:rPr>
                <w:rFonts w:cs="Times New Roman"/>
              </w:rPr>
              <w:t>925</w:t>
            </w:r>
          </w:p>
        </w:tc>
        <w:tc>
          <w:tcPr>
            <w:tcW w:w="1915" w:type="dxa"/>
          </w:tcPr>
          <w:p w:rsidR="00FA33ED" w:rsidRDefault="00FA33ED" w:rsidP="00FA33ED">
            <w:pPr>
              <w:rPr>
                <w:rFonts w:cs="Times New Roman"/>
              </w:rPr>
            </w:pPr>
            <w:r>
              <w:rPr>
                <w:rFonts w:cs="Times New Roman"/>
              </w:rPr>
              <w:t xml:space="preserve">9% </w:t>
            </w:r>
          </w:p>
        </w:tc>
        <w:tc>
          <w:tcPr>
            <w:tcW w:w="1915" w:type="dxa"/>
          </w:tcPr>
          <w:p w:rsidR="00FA33ED" w:rsidRDefault="00FA33ED" w:rsidP="00FA33ED">
            <w:pPr>
              <w:rPr>
                <w:rFonts w:cs="Times New Roman"/>
              </w:rPr>
            </w:pPr>
            <w:r>
              <w:rPr>
                <w:rFonts w:cs="Times New Roman"/>
              </w:rPr>
              <w:t>144</w:t>
            </w:r>
          </w:p>
        </w:tc>
        <w:tc>
          <w:tcPr>
            <w:tcW w:w="1916" w:type="dxa"/>
          </w:tcPr>
          <w:p w:rsidR="00FA33ED" w:rsidRDefault="00FA33ED" w:rsidP="00FA33ED">
            <w:pPr>
              <w:rPr>
                <w:rFonts w:cs="Times New Roman"/>
              </w:rPr>
            </w:pPr>
            <w:r>
              <w:rPr>
                <w:rFonts w:cs="Times New Roman"/>
              </w:rPr>
              <w:t xml:space="preserve">24% </w:t>
            </w:r>
          </w:p>
        </w:tc>
      </w:tr>
      <w:tr w:rsidR="00FA33ED" w:rsidTr="00FA33ED">
        <w:tc>
          <w:tcPr>
            <w:tcW w:w="1915" w:type="dxa"/>
          </w:tcPr>
          <w:p w:rsidR="00FA33ED" w:rsidRDefault="00FA33ED" w:rsidP="00FA33ED">
            <w:pPr>
              <w:rPr>
                <w:rFonts w:cs="Times New Roman"/>
              </w:rPr>
            </w:pPr>
            <w:r>
              <w:rPr>
                <w:rFonts w:cs="Times New Roman"/>
              </w:rPr>
              <w:t>2012-13</w:t>
            </w:r>
          </w:p>
        </w:tc>
        <w:tc>
          <w:tcPr>
            <w:tcW w:w="1915" w:type="dxa"/>
          </w:tcPr>
          <w:p w:rsidR="00FA33ED" w:rsidRDefault="00FA33ED" w:rsidP="00FA33ED">
            <w:pPr>
              <w:rPr>
                <w:rFonts w:cs="Times New Roman"/>
              </w:rPr>
            </w:pPr>
            <w:r>
              <w:rPr>
                <w:rFonts w:cs="Times New Roman"/>
              </w:rPr>
              <w:t>1179</w:t>
            </w:r>
          </w:p>
        </w:tc>
        <w:tc>
          <w:tcPr>
            <w:tcW w:w="1915" w:type="dxa"/>
          </w:tcPr>
          <w:p w:rsidR="00FA33ED" w:rsidRDefault="00FA33ED" w:rsidP="00FA33ED">
            <w:pPr>
              <w:rPr>
                <w:rFonts w:cs="Times New Roman"/>
              </w:rPr>
            </w:pPr>
            <w:r>
              <w:rPr>
                <w:rFonts w:cs="Times New Roman"/>
              </w:rPr>
              <w:t xml:space="preserve">12% </w:t>
            </w:r>
          </w:p>
        </w:tc>
        <w:tc>
          <w:tcPr>
            <w:tcW w:w="1915" w:type="dxa"/>
          </w:tcPr>
          <w:p w:rsidR="00FA33ED" w:rsidRDefault="00FA33ED" w:rsidP="00FA33ED">
            <w:pPr>
              <w:rPr>
                <w:rFonts w:cs="Times New Roman"/>
              </w:rPr>
            </w:pPr>
            <w:r>
              <w:rPr>
                <w:rFonts w:cs="Times New Roman"/>
              </w:rPr>
              <w:t>228</w:t>
            </w:r>
          </w:p>
        </w:tc>
        <w:tc>
          <w:tcPr>
            <w:tcW w:w="1916" w:type="dxa"/>
          </w:tcPr>
          <w:p w:rsidR="00FA33ED" w:rsidRDefault="00FA33ED" w:rsidP="00FA33ED">
            <w:pPr>
              <w:rPr>
                <w:rFonts w:cs="Times New Roman"/>
              </w:rPr>
            </w:pPr>
            <w:r>
              <w:rPr>
                <w:rFonts w:cs="Times New Roman"/>
              </w:rPr>
              <w:t xml:space="preserve">38% </w:t>
            </w:r>
          </w:p>
        </w:tc>
      </w:tr>
    </w:tbl>
    <w:p w:rsidR="00FA33ED" w:rsidRDefault="00FA33ED">
      <w:pPr>
        <w:rPr>
          <w:rFonts w:cs="Times New Roman"/>
        </w:rPr>
      </w:pPr>
      <w:r>
        <w:rPr>
          <w:rFonts w:cs="Times New Roman"/>
        </w:rPr>
        <w:t>Student Demographics Used: 9500 (2011-12), 9800 (2012-13</w:t>
      </w:r>
      <w:proofErr w:type="gramStart"/>
      <w:r>
        <w:rPr>
          <w:rFonts w:cs="Times New Roman"/>
        </w:rPr>
        <w:t>)</w:t>
      </w:r>
      <w:proofErr w:type="gramEnd"/>
      <w:r>
        <w:rPr>
          <w:rFonts w:cs="Times New Roman"/>
        </w:rPr>
        <w:br/>
        <w:t>Faculty Demographics Used : 600 (2011-12 and 2012-13)</w:t>
      </w:r>
    </w:p>
    <w:tbl>
      <w:tblPr>
        <w:tblStyle w:val="TableGrid"/>
        <w:tblW w:w="0" w:type="auto"/>
        <w:tblLook w:val="04A0" w:firstRow="1" w:lastRow="0" w:firstColumn="1" w:lastColumn="0" w:noHBand="0" w:noVBand="1"/>
      </w:tblPr>
      <w:tblGrid>
        <w:gridCol w:w="1915"/>
        <w:gridCol w:w="1915"/>
        <w:gridCol w:w="1915"/>
        <w:gridCol w:w="1915"/>
        <w:gridCol w:w="1916"/>
      </w:tblGrid>
      <w:tr w:rsidR="00354D31" w:rsidTr="00354D31">
        <w:tc>
          <w:tcPr>
            <w:tcW w:w="1915" w:type="dxa"/>
          </w:tcPr>
          <w:p w:rsidR="00354D31" w:rsidRDefault="00354D31">
            <w:pPr>
              <w:rPr>
                <w:rFonts w:cs="Times New Roman"/>
              </w:rPr>
            </w:pPr>
            <w:r>
              <w:rPr>
                <w:rFonts w:cs="Times New Roman"/>
              </w:rPr>
              <w:t>Award title</w:t>
            </w:r>
          </w:p>
          <w:p w:rsidR="00354D31" w:rsidRDefault="00354D31">
            <w:pPr>
              <w:rPr>
                <w:rFonts w:cs="Times New Roman"/>
              </w:rPr>
            </w:pPr>
          </w:p>
        </w:tc>
        <w:tc>
          <w:tcPr>
            <w:tcW w:w="1915" w:type="dxa"/>
          </w:tcPr>
          <w:p w:rsidR="00354D31" w:rsidRDefault="00354D31">
            <w:pPr>
              <w:rPr>
                <w:rFonts w:cs="Times New Roman"/>
              </w:rPr>
            </w:pPr>
            <w:r>
              <w:rPr>
                <w:rFonts w:cs="Times New Roman"/>
              </w:rPr>
              <w:t>Nominations 2010</w:t>
            </w:r>
            <w:r>
              <w:rPr>
                <w:rFonts w:cs="Times New Roman"/>
              </w:rPr>
              <w:br/>
              <w:t>PRIOR</w:t>
            </w:r>
          </w:p>
        </w:tc>
        <w:tc>
          <w:tcPr>
            <w:tcW w:w="1915" w:type="dxa"/>
          </w:tcPr>
          <w:p w:rsidR="00354D31" w:rsidRDefault="00354D31">
            <w:pPr>
              <w:rPr>
                <w:rFonts w:cs="Times New Roman"/>
              </w:rPr>
            </w:pPr>
            <w:r>
              <w:rPr>
                <w:rFonts w:cs="Times New Roman"/>
              </w:rPr>
              <w:t>Nominations 2012</w:t>
            </w:r>
          </w:p>
        </w:tc>
        <w:tc>
          <w:tcPr>
            <w:tcW w:w="1915" w:type="dxa"/>
          </w:tcPr>
          <w:p w:rsidR="00354D31" w:rsidRDefault="00354D31">
            <w:pPr>
              <w:rPr>
                <w:rFonts w:cs="Times New Roman"/>
              </w:rPr>
            </w:pPr>
            <w:r>
              <w:rPr>
                <w:rFonts w:cs="Times New Roman"/>
              </w:rPr>
              <w:t>Nominations 2013</w:t>
            </w:r>
          </w:p>
        </w:tc>
        <w:tc>
          <w:tcPr>
            <w:tcW w:w="1916" w:type="dxa"/>
          </w:tcPr>
          <w:p w:rsidR="00354D31" w:rsidRDefault="00354D31">
            <w:pPr>
              <w:rPr>
                <w:rFonts w:cs="Times New Roman"/>
              </w:rPr>
            </w:pPr>
            <w:r>
              <w:rPr>
                <w:rFonts w:cs="Times New Roman"/>
              </w:rPr>
              <w:t>% Increase</w:t>
            </w:r>
          </w:p>
        </w:tc>
      </w:tr>
      <w:tr w:rsidR="00354D31" w:rsidTr="00354D31">
        <w:tc>
          <w:tcPr>
            <w:tcW w:w="1915" w:type="dxa"/>
          </w:tcPr>
          <w:p w:rsidR="00354D31" w:rsidRDefault="00354D31">
            <w:pPr>
              <w:rPr>
                <w:rFonts w:cs="Times New Roman"/>
              </w:rPr>
            </w:pPr>
            <w:r>
              <w:rPr>
                <w:rFonts w:cs="Times New Roman"/>
              </w:rPr>
              <w:t>CDTA</w:t>
            </w:r>
          </w:p>
        </w:tc>
        <w:tc>
          <w:tcPr>
            <w:tcW w:w="1915" w:type="dxa"/>
          </w:tcPr>
          <w:p w:rsidR="00354D31" w:rsidRDefault="00FA33ED">
            <w:pPr>
              <w:rPr>
                <w:rFonts w:cs="Times New Roman"/>
              </w:rPr>
            </w:pPr>
            <w:r>
              <w:rPr>
                <w:rFonts w:cs="Times New Roman"/>
              </w:rPr>
              <w:t>1197</w:t>
            </w:r>
          </w:p>
        </w:tc>
        <w:tc>
          <w:tcPr>
            <w:tcW w:w="1915" w:type="dxa"/>
          </w:tcPr>
          <w:p w:rsidR="00354D31" w:rsidRDefault="00354D31">
            <w:pPr>
              <w:rPr>
                <w:rFonts w:cs="Times New Roman"/>
              </w:rPr>
            </w:pPr>
            <w:r>
              <w:rPr>
                <w:rFonts w:cs="Times New Roman"/>
              </w:rPr>
              <w:t>1376</w:t>
            </w:r>
          </w:p>
        </w:tc>
        <w:tc>
          <w:tcPr>
            <w:tcW w:w="1915" w:type="dxa"/>
          </w:tcPr>
          <w:p w:rsidR="00354D31" w:rsidRDefault="00FA33ED">
            <w:pPr>
              <w:rPr>
                <w:rFonts w:cs="Times New Roman"/>
              </w:rPr>
            </w:pPr>
            <w:r>
              <w:rPr>
                <w:rFonts w:cs="Times New Roman"/>
              </w:rPr>
              <w:t>1556</w:t>
            </w:r>
          </w:p>
        </w:tc>
        <w:tc>
          <w:tcPr>
            <w:tcW w:w="1916" w:type="dxa"/>
          </w:tcPr>
          <w:p w:rsidR="00354D31" w:rsidRDefault="00FA33ED">
            <w:pPr>
              <w:rPr>
                <w:rFonts w:cs="Times New Roman"/>
              </w:rPr>
            </w:pPr>
            <w:r>
              <w:rPr>
                <w:rFonts w:cs="Times New Roman"/>
              </w:rPr>
              <w:t>30</w:t>
            </w:r>
          </w:p>
        </w:tc>
      </w:tr>
      <w:tr w:rsidR="00354D31" w:rsidTr="00354D31">
        <w:tc>
          <w:tcPr>
            <w:tcW w:w="1915" w:type="dxa"/>
          </w:tcPr>
          <w:p w:rsidR="00354D31" w:rsidRDefault="00354D31">
            <w:pPr>
              <w:rPr>
                <w:rFonts w:cs="Times New Roman"/>
              </w:rPr>
            </w:pPr>
            <w:r>
              <w:rPr>
                <w:rFonts w:cs="Times New Roman"/>
              </w:rPr>
              <w:t>ETLSA</w:t>
            </w:r>
          </w:p>
        </w:tc>
        <w:tc>
          <w:tcPr>
            <w:tcW w:w="1915" w:type="dxa"/>
          </w:tcPr>
          <w:p w:rsidR="00354D31" w:rsidRDefault="00FA33ED">
            <w:pPr>
              <w:rPr>
                <w:rFonts w:cs="Times New Roman"/>
              </w:rPr>
            </w:pPr>
            <w:r>
              <w:rPr>
                <w:rFonts w:cs="Times New Roman"/>
              </w:rPr>
              <w:t>14</w:t>
            </w:r>
          </w:p>
        </w:tc>
        <w:tc>
          <w:tcPr>
            <w:tcW w:w="1915" w:type="dxa"/>
          </w:tcPr>
          <w:p w:rsidR="00354D31" w:rsidRDefault="00354D31">
            <w:pPr>
              <w:rPr>
                <w:rFonts w:cs="Times New Roman"/>
              </w:rPr>
            </w:pPr>
            <w:r>
              <w:rPr>
                <w:rFonts w:cs="Times New Roman"/>
              </w:rPr>
              <w:t>19</w:t>
            </w:r>
          </w:p>
        </w:tc>
        <w:tc>
          <w:tcPr>
            <w:tcW w:w="1915" w:type="dxa"/>
          </w:tcPr>
          <w:p w:rsidR="00354D31" w:rsidRDefault="00807F6A">
            <w:pPr>
              <w:rPr>
                <w:rFonts w:cs="Times New Roman"/>
              </w:rPr>
            </w:pPr>
            <w:r>
              <w:rPr>
                <w:rFonts w:cs="Times New Roman"/>
              </w:rPr>
              <w:t>38</w:t>
            </w:r>
          </w:p>
        </w:tc>
        <w:tc>
          <w:tcPr>
            <w:tcW w:w="1916" w:type="dxa"/>
          </w:tcPr>
          <w:p w:rsidR="00354D31" w:rsidRDefault="00FA33ED">
            <w:pPr>
              <w:rPr>
                <w:rFonts w:cs="Times New Roman"/>
              </w:rPr>
            </w:pPr>
            <w:r>
              <w:rPr>
                <w:rFonts w:cs="Times New Roman"/>
              </w:rPr>
              <w:t>170</w:t>
            </w:r>
          </w:p>
        </w:tc>
      </w:tr>
      <w:tr w:rsidR="00354D31" w:rsidTr="00354D31">
        <w:tc>
          <w:tcPr>
            <w:tcW w:w="1915" w:type="dxa"/>
          </w:tcPr>
          <w:p w:rsidR="00354D31" w:rsidRDefault="00354D31">
            <w:pPr>
              <w:rPr>
                <w:rFonts w:cs="Times New Roman"/>
              </w:rPr>
            </w:pPr>
            <w:r>
              <w:rPr>
                <w:rFonts w:cs="Times New Roman"/>
              </w:rPr>
              <w:t>Last Lecture</w:t>
            </w:r>
          </w:p>
        </w:tc>
        <w:tc>
          <w:tcPr>
            <w:tcW w:w="1915" w:type="dxa"/>
          </w:tcPr>
          <w:p w:rsidR="00354D31" w:rsidRDefault="00354D31">
            <w:pPr>
              <w:rPr>
                <w:rFonts w:cs="Times New Roman"/>
              </w:rPr>
            </w:pPr>
            <w:r>
              <w:rPr>
                <w:rFonts w:cs="Times New Roman"/>
              </w:rPr>
              <w:t>158</w:t>
            </w:r>
          </w:p>
        </w:tc>
        <w:tc>
          <w:tcPr>
            <w:tcW w:w="1915" w:type="dxa"/>
          </w:tcPr>
          <w:p w:rsidR="00354D31" w:rsidRDefault="00354D31">
            <w:pPr>
              <w:rPr>
                <w:rFonts w:cs="Times New Roman"/>
              </w:rPr>
            </w:pPr>
            <w:r>
              <w:rPr>
                <w:rFonts w:cs="Times New Roman"/>
              </w:rPr>
              <w:t>471</w:t>
            </w:r>
          </w:p>
        </w:tc>
        <w:tc>
          <w:tcPr>
            <w:tcW w:w="1915" w:type="dxa"/>
          </w:tcPr>
          <w:p w:rsidR="00354D31" w:rsidRDefault="00807F6A">
            <w:pPr>
              <w:rPr>
                <w:rFonts w:cs="Times New Roman"/>
              </w:rPr>
            </w:pPr>
            <w:r>
              <w:rPr>
                <w:rFonts w:cs="Times New Roman"/>
              </w:rPr>
              <w:t>328</w:t>
            </w:r>
          </w:p>
        </w:tc>
        <w:tc>
          <w:tcPr>
            <w:tcW w:w="1916" w:type="dxa"/>
          </w:tcPr>
          <w:p w:rsidR="00354D31" w:rsidRDefault="00FA33ED">
            <w:pPr>
              <w:rPr>
                <w:rFonts w:cs="Times New Roman"/>
              </w:rPr>
            </w:pPr>
            <w:r>
              <w:rPr>
                <w:rFonts w:cs="Times New Roman"/>
              </w:rPr>
              <w:t>107</w:t>
            </w:r>
          </w:p>
        </w:tc>
      </w:tr>
      <w:tr w:rsidR="00354D31" w:rsidTr="00354D31">
        <w:tc>
          <w:tcPr>
            <w:tcW w:w="1915" w:type="dxa"/>
          </w:tcPr>
          <w:p w:rsidR="00354D31" w:rsidRDefault="00354D31">
            <w:pPr>
              <w:rPr>
                <w:rFonts w:cs="Times New Roman"/>
              </w:rPr>
            </w:pPr>
            <w:r>
              <w:rPr>
                <w:rFonts w:cs="Times New Roman"/>
              </w:rPr>
              <w:t>JMR</w:t>
            </w:r>
          </w:p>
        </w:tc>
        <w:tc>
          <w:tcPr>
            <w:tcW w:w="1915" w:type="dxa"/>
          </w:tcPr>
          <w:p w:rsidR="00354D31" w:rsidRDefault="00354D31">
            <w:pPr>
              <w:rPr>
                <w:rFonts w:cs="Times New Roman"/>
              </w:rPr>
            </w:pPr>
            <w:r>
              <w:rPr>
                <w:rFonts w:cs="Times New Roman"/>
              </w:rPr>
              <w:t>46</w:t>
            </w:r>
          </w:p>
        </w:tc>
        <w:tc>
          <w:tcPr>
            <w:tcW w:w="1915" w:type="dxa"/>
          </w:tcPr>
          <w:p w:rsidR="00354D31" w:rsidRDefault="00354D31">
            <w:pPr>
              <w:rPr>
                <w:rFonts w:cs="Times New Roman"/>
              </w:rPr>
            </w:pPr>
            <w:r>
              <w:rPr>
                <w:rFonts w:cs="Times New Roman"/>
              </w:rPr>
              <w:t>154</w:t>
            </w:r>
          </w:p>
        </w:tc>
        <w:tc>
          <w:tcPr>
            <w:tcW w:w="1915" w:type="dxa"/>
          </w:tcPr>
          <w:p w:rsidR="00354D31" w:rsidRDefault="00807F6A">
            <w:pPr>
              <w:rPr>
                <w:rFonts w:cs="Times New Roman"/>
              </w:rPr>
            </w:pPr>
            <w:r>
              <w:rPr>
                <w:rFonts w:cs="Times New Roman"/>
              </w:rPr>
              <w:t>172</w:t>
            </w:r>
          </w:p>
        </w:tc>
        <w:tc>
          <w:tcPr>
            <w:tcW w:w="1916" w:type="dxa"/>
          </w:tcPr>
          <w:p w:rsidR="00354D31" w:rsidRDefault="00FA33ED">
            <w:pPr>
              <w:rPr>
                <w:rFonts w:cs="Times New Roman"/>
              </w:rPr>
            </w:pPr>
            <w:r>
              <w:rPr>
                <w:rFonts w:cs="Times New Roman"/>
              </w:rPr>
              <w:t>273</w:t>
            </w:r>
          </w:p>
        </w:tc>
      </w:tr>
      <w:tr w:rsidR="00354D31" w:rsidTr="00354D31">
        <w:tc>
          <w:tcPr>
            <w:tcW w:w="1915" w:type="dxa"/>
          </w:tcPr>
          <w:p w:rsidR="00354D31" w:rsidRDefault="00354D31">
            <w:pPr>
              <w:rPr>
                <w:rFonts w:cs="Times New Roman"/>
              </w:rPr>
            </w:pPr>
            <w:r>
              <w:rPr>
                <w:rFonts w:cs="Times New Roman"/>
              </w:rPr>
              <w:t>SOTL</w:t>
            </w:r>
          </w:p>
        </w:tc>
        <w:tc>
          <w:tcPr>
            <w:tcW w:w="1915" w:type="dxa"/>
          </w:tcPr>
          <w:p w:rsidR="00354D31" w:rsidRDefault="00354D31">
            <w:pPr>
              <w:rPr>
                <w:rFonts w:cs="Times New Roman"/>
              </w:rPr>
            </w:pPr>
            <w:r>
              <w:rPr>
                <w:rFonts w:cs="Times New Roman"/>
              </w:rPr>
              <w:t>9</w:t>
            </w:r>
          </w:p>
        </w:tc>
        <w:tc>
          <w:tcPr>
            <w:tcW w:w="1915" w:type="dxa"/>
          </w:tcPr>
          <w:p w:rsidR="00354D31" w:rsidRDefault="00354D31">
            <w:pPr>
              <w:rPr>
                <w:rFonts w:cs="Times New Roman"/>
              </w:rPr>
            </w:pPr>
            <w:r>
              <w:rPr>
                <w:rFonts w:cs="Times New Roman"/>
              </w:rPr>
              <w:t>18</w:t>
            </w:r>
          </w:p>
        </w:tc>
        <w:tc>
          <w:tcPr>
            <w:tcW w:w="1915" w:type="dxa"/>
          </w:tcPr>
          <w:p w:rsidR="00354D31" w:rsidRDefault="00354D31">
            <w:pPr>
              <w:rPr>
                <w:rFonts w:cs="Times New Roman"/>
              </w:rPr>
            </w:pPr>
            <w:r>
              <w:rPr>
                <w:rFonts w:cs="Times New Roman"/>
              </w:rPr>
              <w:t>21</w:t>
            </w:r>
          </w:p>
        </w:tc>
        <w:tc>
          <w:tcPr>
            <w:tcW w:w="1916" w:type="dxa"/>
          </w:tcPr>
          <w:p w:rsidR="00354D31" w:rsidRDefault="00FA33ED">
            <w:pPr>
              <w:rPr>
                <w:rFonts w:cs="Times New Roman"/>
              </w:rPr>
            </w:pPr>
            <w:r>
              <w:rPr>
                <w:rFonts w:cs="Times New Roman"/>
              </w:rPr>
              <w:t>133</w:t>
            </w:r>
          </w:p>
        </w:tc>
      </w:tr>
      <w:tr w:rsidR="00354D31" w:rsidTr="00354D31">
        <w:tc>
          <w:tcPr>
            <w:tcW w:w="1915" w:type="dxa"/>
          </w:tcPr>
          <w:p w:rsidR="00354D31" w:rsidRDefault="00354D31">
            <w:pPr>
              <w:rPr>
                <w:rFonts w:cs="Times New Roman"/>
              </w:rPr>
            </w:pPr>
            <w:r>
              <w:rPr>
                <w:rFonts w:cs="Times New Roman"/>
              </w:rPr>
              <w:t>A&amp;S</w:t>
            </w:r>
          </w:p>
        </w:tc>
        <w:tc>
          <w:tcPr>
            <w:tcW w:w="1915" w:type="dxa"/>
          </w:tcPr>
          <w:p w:rsidR="00354D31" w:rsidRDefault="00354D31">
            <w:pPr>
              <w:rPr>
                <w:rFonts w:cs="Times New Roman"/>
              </w:rPr>
            </w:pPr>
            <w:r>
              <w:rPr>
                <w:rFonts w:cs="Times New Roman"/>
              </w:rPr>
              <w:t>83</w:t>
            </w:r>
          </w:p>
        </w:tc>
        <w:tc>
          <w:tcPr>
            <w:tcW w:w="1915" w:type="dxa"/>
          </w:tcPr>
          <w:p w:rsidR="00354D31" w:rsidRDefault="00354D31">
            <w:pPr>
              <w:rPr>
                <w:rFonts w:cs="Times New Roman"/>
              </w:rPr>
            </w:pPr>
            <w:r>
              <w:rPr>
                <w:rFonts w:cs="Times New Roman"/>
              </w:rPr>
              <w:t>247</w:t>
            </w:r>
          </w:p>
        </w:tc>
        <w:tc>
          <w:tcPr>
            <w:tcW w:w="1915" w:type="dxa"/>
          </w:tcPr>
          <w:p w:rsidR="00354D31" w:rsidRDefault="00354D31">
            <w:pPr>
              <w:rPr>
                <w:rFonts w:cs="Times New Roman"/>
              </w:rPr>
            </w:pPr>
            <w:r>
              <w:rPr>
                <w:rFonts w:cs="Times New Roman"/>
              </w:rPr>
              <w:t>128</w:t>
            </w:r>
          </w:p>
        </w:tc>
        <w:tc>
          <w:tcPr>
            <w:tcW w:w="1916" w:type="dxa"/>
          </w:tcPr>
          <w:p w:rsidR="00354D31" w:rsidRDefault="00FA33ED">
            <w:pPr>
              <w:rPr>
                <w:rFonts w:cs="Times New Roman"/>
              </w:rPr>
            </w:pPr>
            <w:r>
              <w:rPr>
                <w:rFonts w:cs="Times New Roman"/>
              </w:rPr>
              <w:t>54</w:t>
            </w:r>
          </w:p>
        </w:tc>
      </w:tr>
      <w:tr w:rsidR="00354D31" w:rsidTr="00354D31">
        <w:tc>
          <w:tcPr>
            <w:tcW w:w="1915" w:type="dxa"/>
          </w:tcPr>
          <w:p w:rsidR="00354D31" w:rsidRDefault="00354D31">
            <w:pPr>
              <w:rPr>
                <w:rFonts w:cs="Times New Roman"/>
              </w:rPr>
            </w:pPr>
            <w:r>
              <w:rPr>
                <w:rFonts w:cs="Times New Roman"/>
              </w:rPr>
              <w:t>CFPA Teaching</w:t>
            </w:r>
          </w:p>
        </w:tc>
        <w:tc>
          <w:tcPr>
            <w:tcW w:w="1915" w:type="dxa"/>
          </w:tcPr>
          <w:p w:rsidR="00354D31" w:rsidRDefault="00354D31">
            <w:pPr>
              <w:rPr>
                <w:rFonts w:cs="Times New Roman"/>
              </w:rPr>
            </w:pPr>
          </w:p>
        </w:tc>
        <w:tc>
          <w:tcPr>
            <w:tcW w:w="1915" w:type="dxa"/>
          </w:tcPr>
          <w:p w:rsidR="00354D31" w:rsidRDefault="00354D31">
            <w:pPr>
              <w:rPr>
                <w:rFonts w:cs="Times New Roman"/>
              </w:rPr>
            </w:pPr>
            <w:r>
              <w:rPr>
                <w:rFonts w:cs="Times New Roman"/>
              </w:rPr>
              <w:t>133</w:t>
            </w:r>
          </w:p>
        </w:tc>
        <w:tc>
          <w:tcPr>
            <w:tcW w:w="1915" w:type="dxa"/>
          </w:tcPr>
          <w:p w:rsidR="00354D31" w:rsidRDefault="00354D31">
            <w:pPr>
              <w:rPr>
                <w:rFonts w:cs="Times New Roman"/>
              </w:rPr>
            </w:pPr>
            <w:r>
              <w:rPr>
                <w:rFonts w:cs="Times New Roman"/>
              </w:rPr>
              <w:t>59</w:t>
            </w:r>
          </w:p>
        </w:tc>
        <w:tc>
          <w:tcPr>
            <w:tcW w:w="1916" w:type="dxa"/>
          </w:tcPr>
          <w:p w:rsidR="00354D31" w:rsidRDefault="00354D31">
            <w:pPr>
              <w:rPr>
                <w:rFonts w:cs="Times New Roman"/>
              </w:rPr>
            </w:pPr>
          </w:p>
          <w:p w:rsidR="00FA33ED" w:rsidRDefault="00FA33ED">
            <w:pPr>
              <w:rPr>
                <w:rFonts w:cs="Times New Roman"/>
              </w:rPr>
            </w:pPr>
            <w:r>
              <w:rPr>
                <w:rFonts w:cs="Times New Roman"/>
              </w:rPr>
              <w:t>*Technical problem</w:t>
            </w:r>
          </w:p>
        </w:tc>
      </w:tr>
      <w:tr w:rsidR="00354D31" w:rsidTr="00354D31">
        <w:tc>
          <w:tcPr>
            <w:tcW w:w="1915" w:type="dxa"/>
          </w:tcPr>
          <w:p w:rsidR="00354D31" w:rsidRDefault="00354D31">
            <w:pPr>
              <w:rPr>
                <w:rFonts w:cs="Times New Roman"/>
              </w:rPr>
            </w:pPr>
            <w:r>
              <w:rPr>
                <w:rFonts w:cs="Times New Roman"/>
              </w:rPr>
              <w:t>KSCMT Research</w:t>
            </w:r>
          </w:p>
        </w:tc>
        <w:tc>
          <w:tcPr>
            <w:tcW w:w="1915" w:type="dxa"/>
          </w:tcPr>
          <w:p w:rsidR="00354D31" w:rsidRDefault="00354D31">
            <w:pPr>
              <w:rPr>
                <w:rFonts w:cs="Times New Roman"/>
              </w:rPr>
            </w:pPr>
          </w:p>
        </w:tc>
        <w:tc>
          <w:tcPr>
            <w:tcW w:w="1915" w:type="dxa"/>
          </w:tcPr>
          <w:p w:rsidR="00354D31" w:rsidRDefault="00354D31">
            <w:pPr>
              <w:rPr>
                <w:rFonts w:cs="Times New Roman"/>
              </w:rPr>
            </w:pPr>
            <w:r>
              <w:rPr>
                <w:rFonts w:cs="Times New Roman"/>
              </w:rPr>
              <w:t>6</w:t>
            </w:r>
          </w:p>
        </w:tc>
        <w:tc>
          <w:tcPr>
            <w:tcW w:w="1915" w:type="dxa"/>
          </w:tcPr>
          <w:p w:rsidR="00354D31" w:rsidRDefault="00807F6A">
            <w:pPr>
              <w:rPr>
                <w:rFonts w:cs="Times New Roman"/>
              </w:rPr>
            </w:pPr>
            <w:r>
              <w:rPr>
                <w:rFonts w:cs="Times New Roman"/>
              </w:rPr>
              <w:t>11</w:t>
            </w:r>
          </w:p>
        </w:tc>
        <w:tc>
          <w:tcPr>
            <w:tcW w:w="1916" w:type="dxa"/>
          </w:tcPr>
          <w:p w:rsidR="00354D31" w:rsidRDefault="00354D31">
            <w:pPr>
              <w:rPr>
                <w:rFonts w:cs="Times New Roman"/>
              </w:rPr>
            </w:pPr>
          </w:p>
        </w:tc>
      </w:tr>
      <w:tr w:rsidR="00354D31" w:rsidTr="00354D31">
        <w:tc>
          <w:tcPr>
            <w:tcW w:w="1915" w:type="dxa"/>
          </w:tcPr>
          <w:p w:rsidR="00354D31" w:rsidRDefault="00354D31">
            <w:pPr>
              <w:rPr>
                <w:rFonts w:cs="Times New Roman"/>
              </w:rPr>
            </w:pPr>
            <w:r>
              <w:rPr>
                <w:rFonts w:cs="Times New Roman"/>
              </w:rPr>
              <w:t>KSCMT Engagement</w:t>
            </w:r>
          </w:p>
        </w:tc>
        <w:tc>
          <w:tcPr>
            <w:tcW w:w="1915" w:type="dxa"/>
          </w:tcPr>
          <w:p w:rsidR="00354D31" w:rsidRDefault="00354D31">
            <w:pPr>
              <w:rPr>
                <w:rFonts w:cs="Times New Roman"/>
              </w:rPr>
            </w:pPr>
          </w:p>
        </w:tc>
        <w:tc>
          <w:tcPr>
            <w:tcW w:w="1915" w:type="dxa"/>
          </w:tcPr>
          <w:p w:rsidR="00354D31" w:rsidRDefault="00354D31">
            <w:pPr>
              <w:rPr>
                <w:rFonts w:cs="Times New Roman"/>
              </w:rPr>
            </w:pPr>
            <w:r>
              <w:rPr>
                <w:rFonts w:cs="Times New Roman"/>
              </w:rPr>
              <w:t>5</w:t>
            </w:r>
          </w:p>
        </w:tc>
        <w:tc>
          <w:tcPr>
            <w:tcW w:w="1915" w:type="dxa"/>
          </w:tcPr>
          <w:p w:rsidR="00354D31" w:rsidRDefault="00807F6A">
            <w:pPr>
              <w:rPr>
                <w:rFonts w:cs="Times New Roman"/>
              </w:rPr>
            </w:pPr>
            <w:r>
              <w:rPr>
                <w:rFonts w:cs="Times New Roman"/>
              </w:rPr>
              <w:t>12</w:t>
            </w:r>
          </w:p>
        </w:tc>
        <w:tc>
          <w:tcPr>
            <w:tcW w:w="1916" w:type="dxa"/>
          </w:tcPr>
          <w:p w:rsidR="00354D31" w:rsidRDefault="00354D31">
            <w:pPr>
              <w:rPr>
                <w:rFonts w:cs="Times New Roman"/>
              </w:rPr>
            </w:pPr>
          </w:p>
        </w:tc>
      </w:tr>
      <w:tr w:rsidR="00354D31" w:rsidTr="00354D31">
        <w:tc>
          <w:tcPr>
            <w:tcW w:w="1915" w:type="dxa"/>
          </w:tcPr>
          <w:p w:rsidR="00354D31" w:rsidRDefault="00354D31">
            <w:pPr>
              <w:rPr>
                <w:rFonts w:cs="Times New Roman"/>
              </w:rPr>
            </w:pPr>
            <w:r>
              <w:rPr>
                <w:rFonts w:cs="Times New Roman"/>
              </w:rPr>
              <w:t>KSCMT Teaching</w:t>
            </w:r>
          </w:p>
        </w:tc>
        <w:tc>
          <w:tcPr>
            <w:tcW w:w="1915" w:type="dxa"/>
          </w:tcPr>
          <w:p w:rsidR="00354D31" w:rsidRDefault="00354D31">
            <w:pPr>
              <w:rPr>
                <w:rFonts w:cs="Times New Roman"/>
              </w:rPr>
            </w:pPr>
          </w:p>
        </w:tc>
        <w:tc>
          <w:tcPr>
            <w:tcW w:w="1915" w:type="dxa"/>
          </w:tcPr>
          <w:p w:rsidR="00354D31" w:rsidRDefault="00354D31">
            <w:pPr>
              <w:rPr>
                <w:rFonts w:cs="Times New Roman"/>
              </w:rPr>
            </w:pPr>
            <w:r>
              <w:rPr>
                <w:rFonts w:cs="Times New Roman"/>
              </w:rPr>
              <w:t>4</w:t>
            </w:r>
          </w:p>
        </w:tc>
        <w:tc>
          <w:tcPr>
            <w:tcW w:w="1915" w:type="dxa"/>
          </w:tcPr>
          <w:p w:rsidR="00354D31" w:rsidRDefault="00807F6A">
            <w:pPr>
              <w:rPr>
                <w:rFonts w:cs="Times New Roman"/>
              </w:rPr>
            </w:pPr>
            <w:r>
              <w:rPr>
                <w:rFonts w:cs="Times New Roman"/>
              </w:rPr>
              <w:t>13</w:t>
            </w:r>
          </w:p>
        </w:tc>
        <w:tc>
          <w:tcPr>
            <w:tcW w:w="1916" w:type="dxa"/>
          </w:tcPr>
          <w:p w:rsidR="00354D31" w:rsidRDefault="00354D31">
            <w:pPr>
              <w:rPr>
                <w:rFonts w:cs="Times New Roman"/>
              </w:rPr>
            </w:pPr>
          </w:p>
        </w:tc>
      </w:tr>
      <w:tr w:rsidR="00354D31" w:rsidTr="00354D31">
        <w:tc>
          <w:tcPr>
            <w:tcW w:w="1915" w:type="dxa"/>
          </w:tcPr>
          <w:p w:rsidR="00354D31" w:rsidRDefault="00354D31">
            <w:pPr>
              <w:rPr>
                <w:rFonts w:cs="Times New Roman"/>
              </w:rPr>
            </w:pPr>
            <w:r>
              <w:rPr>
                <w:rFonts w:cs="Times New Roman"/>
              </w:rPr>
              <w:t>KSCMT Advising</w:t>
            </w:r>
          </w:p>
        </w:tc>
        <w:tc>
          <w:tcPr>
            <w:tcW w:w="1915" w:type="dxa"/>
          </w:tcPr>
          <w:p w:rsidR="00354D31" w:rsidRDefault="00354D31">
            <w:pPr>
              <w:rPr>
                <w:rFonts w:cs="Times New Roman"/>
              </w:rPr>
            </w:pPr>
          </w:p>
        </w:tc>
        <w:tc>
          <w:tcPr>
            <w:tcW w:w="1915" w:type="dxa"/>
          </w:tcPr>
          <w:p w:rsidR="00354D31" w:rsidRDefault="00354D31">
            <w:pPr>
              <w:rPr>
                <w:rFonts w:cs="Times New Roman"/>
              </w:rPr>
            </w:pPr>
            <w:r>
              <w:rPr>
                <w:rFonts w:cs="Times New Roman"/>
              </w:rPr>
              <w:t>4</w:t>
            </w:r>
          </w:p>
        </w:tc>
        <w:tc>
          <w:tcPr>
            <w:tcW w:w="1915" w:type="dxa"/>
          </w:tcPr>
          <w:p w:rsidR="00354D31" w:rsidRDefault="00807F6A">
            <w:pPr>
              <w:rPr>
                <w:rFonts w:cs="Times New Roman"/>
              </w:rPr>
            </w:pPr>
            <w:r>
              <w:rPr>
                <w:rFonts w:cs="Times New Roman"/>
              </w:rPr>
              <w:t>8</w:t>
            </w:r>
          </w:p>
        </w:tc>
        <w:tc>
          <w:tcPr>
            <w:tcW w:w="1916" w:type="dxa"/>
          </w:tcPr>
          <w:p w:rsidR="00354D31" w:rsidRDefault="00354D31">
            <w:pPr>
              <w:rPr>
                <w:rFonts w:cs="Times New Roman"/>
              </w:rPr>
            </w:pPr>
          </w:p>
        </w:tc>
      </w:tr>
      <w:tr w:rsidR="00354D31" w:rsidTr="00354D31">
        <w:tc>
          <w:tcPr>
            <w:tcW w:w="1915" w:type="dxa"/>
          </w:tcPr>
          <w:p w:rsidR="00354D31" w:rsidRDefault="00354D31">
            <w:pPr>
              <w:rPr>
                <w:rFonts w:cs="Times New Roman"/>
              </w:rPr>
            </w:pPr>
            <w:r>
              <w:rPr>
                <w:rFonts w:cs="Times New Roman"/>
              </w:rPr>
              <w:t>KSCMT Early Career</w:t>
            </w:r>
          </w:p>
        </w:tc>
        <w:tc>
          <w:tcPr>
            <w:tcW w:w="1915" w:type="dxa"/>
          </w:tcPr>
          <w:p w:rsidR="00354D31" w:rsidRDefault="00354D31">
            <w:pPr>
              <w:rPr>
                <w:rFonts w:cs="Times New Roman"/>
              </w:rPr>
            </w:pPr>
          </w:p>
        </w:tc>
        <w:tc>
          <w:tcPr>
            <w:tcW w:w="1915" w:type="dxa"/>
          </w:tcPr>
          <w:p w:rsidR="00354D31" w:rsidRDefault="00354D31">
            <w:pPr>
              <w:rPr>
                <w:rFonts w:cs="Times New Roman"/>
              </w:rPr>
            </w:pPr>
            <w:r>
              <w:rPr>
                <w:rFonts w:cs="Times New Roman"/>
              </w:rPr>
              <w:t>5</w:t>
            </w:r>
          </w:p>
        </w:tc>
        <w:tc>
          <w:tcPr>
            <w:tcW w:w="1915" w:type="dxa"/>
          </w:tcPr>
          <w:p w:rsidR="00354D31" w:rsidRDefault="00807F6A">
            <w:pPr>
              <w:rPr>
                <w:rFonts w:cs="Times New Roman"/>
              </w:rPr>
            </w:pPr>
            <w:r>
              <w:rPr>
                <w:rFonts w:cs="Times New Roman"/>
              </w:rPr>
              <w:t>11</w:t>
            </w:r>
          </w:p>
        </w:tc>
        <w:tc>
          <w:tcPr>
            <w:tcW w:w="1916" w:type="dxa"/>
          </w:tcPr>
          <w:p w:rsidR="00354D31" w:rsidRDefault="00354D31">
            <w:pPr>
              <w:rPr>
                <w:rFonts w:cs="Times New Roman"/>
              </w:rPr>
            </w:pPr>
          </w:p>
        </w:tc>
      </w:tr>
      <w:tr w:rsidR="00354D31" w:rsidTr="00354D31">
        <w:tc>
          <w:tcPr>
            <w:tcW w:w="1915" w:type="dxa"/>
          </w:tcPr>
          <w:p w:rsidR="00354D31" w:rsidRDefault="00354D31">
            <w:pPr>
              <w:rPr>
                <w:rFonts w:cs="Times New Roman"/>
              </w:rPr>
            </w:pPr>
            <w:r>
              <w:rPr>
                <w:rFonts w:cs="Times New Roman"/>
              </w:rPr>
              <w:t>HHS Teaching</w:t>
            </w:r>
          </w:p>
        </w:tc>
        <w:tc>
          <w:tcPr>
            <w:tcW w:w="1915" w:type="dxa"/>
          </w:tcPr>
          <w:p w:rsidR="00354D31" w:rsidRDefault="00354D31">
            <w:pPr>
              <w:rPr>
                <w:rFonts w:cs="Times New Roman"/>
              </w:rPr>
            </w:pPr>
          </w:p>
        </w:tc>
        <w:tc>
          <w:tcPr>
            <w:tcW w:w="1915" w:type="dxa"/>
          </w:tcPr>
          <w:p w:rsidR="00354D31" w:rsidRDefault="00354D31">
            <w:pPr>
              <w:rPr>
                <w:rFonts w:cs="Times New Roman"/>
              </w:rPr>
            </w:pPr>
            <w:r>
              <w:rPr>
                <w:rFonts w:cs="Times New Roman"/>
              </w:rPr>
              <w:t>13</w:t>
            </w:r>
          </w:p>
        </w:tc>
        <w:tc>
          <w:tcPr>
            <w:tcW w:w="1915" w:type="dxa"/>
          </w:tcPr>
          <w:p w:rsidR="00354D31" w:rsidRDefault="00807F6A">
            <w:pPr>
              <w:rPr>
                <w:rFonts w:cs="Times New Roman"/>
              </w:rPr>
            </w:pPr>
            <w:r>
              <w:rPr>
                <w:rFonts w:cs="Times New Roman"/>
              </w:rPr>
              <w:t>12</w:t>
            </w:r>
          </w:p>
        </w:tc>
        <w:tc>
          <w:tcPr>
            <w:tcW w:w="1916" w:type="dxa"/>
          </w:tcPr>
          <w:p w:rsidR="00354D31" w:rsidRDefault="00354D31">
            <w:pPr>
              <w:rPr>
                <w:rFonts w:cs="Times New Roman"/>
              </w:rPr>
            </w:pPr>
          </w:p>
        </w:tc>
      </w:tr>
      <w:tr w:rsidR="00354D31" w:rsidTr="00354D31">
        <w:tc>
          <w:tcPr>
            <w:tcW w:w="1915" w:type="dxa"/>
          </w:tcPr>
          <w:p w:rsidR="00354D31" w:rsidRDefault="00354D31">
            <w:pPr>
              <w:rPr>
                <w:rFonts w:cs="Times New Roman"/>
              </w:rPr>
            </w:pPr>
            <w:r>
              <w:rPr>
                <w:rFonts w:cs="Times New Roman"/>
              </w:rPr>
              <w:t>HHS Scholar</w:t>
            </w:r>
          </w:p>
        </w:tc>
        <w:tc>
          <w:tcPr>
            <w:tcW w:w="1915" w:type="dxa"/>
          </w:tcPr>
          <w:p w:rsidR="00354D31" w:rsidRDefault="00354D31">
            <w:pPr>
              <w:rPr>
                <w:rFonts w:cs="Times New Roman"/>
              </w:rPr>
            </w:pPr>
          </w:p>
        </w:tc>
        <w:tc>
          <w:tcPr>
            <w:tcW w:w="1915" w:type="dxa"/>
          </w:tcPr>
          <w:p w:rsidR="00354D31" w:rsidRDefault="00354D31">
            <w:pPr>
              <w:rPr>
                <w:rFonts w:cs="Times New Roman"/>
              </w:rPr>
            </w:pPr>
            <w:r>
              <w:rPr>
                <w:rFonts w:cs="Times New Roman"/>
              </w:rPr>
              <w:t>7</w:t>
            </w:r>
          </w:p>
        </w:tc>
        <w:tc>
          <w:tcPr>
            <w:tcW w:w="1915" w:type="dxa"/>
          </w:tcPr>
          <w:p w:rsidR="00354D31" w:rsidRDefault="00807F6A">
            <w:pPr>
              <w:rPr>
                <w:rFonts w:cs="Times New Roman"/>
              </w:rPr>
            </w:pPr>
            <w:r>
              <w:rPr>
                <w:rFonts w:cs="Times New Roman"/>
              </w:rPr>
              <w:t>10</w:t>
            </w:r>
          </w:p>
        </w:tc>
        <w:tc>
          <w:tcPr>
            <w:tcW w:w="1916" w:type="dxa"/>
          </w:tcPr>
          <w:p w:rsidR="00354D31" w:rsidRDefault="00354D31">
            <w:pPr>
              <w:rPr>
                <w:rFonts w:cs="Times New Roman"/>
              </w:rPr>
            </w:pPr>
          </w:p>
        </w:tc>
      </w:tr>
      <w:tr w:rsidR="00354D31" w:rsidTr="00354D31">
        <w:tc>
          <w:tcPr>
            <w:tcW w:w="1915" w:type="dxa"/>
          </w:tcPr>
          <w:p w:rsidR="00354D31" w:rsidRDefault="00354D31">
            <w:pPr>
              <w:rPr>
                <w:rFonts w:cs="Times New Roman"/>
              </w:rPr>
            </w:pPr>
            <w:r>
              <w:rPr>
                <w:rFonts w:cs="Times New Roman"/>
              </w:rPr>
              <w:t>HHS Engagement</w:t>
            </w:r>
          </w:p>
        </w:tc>
        <w:tc>
          <w:tcPr>
            <w:tcW w:w="1915" w:type="dxa"/>
          </w:tcPr>
          <w:p w:rsidR="00354D31" w:rsidRDefault="00354D31">
            <w:pPr>
              <w:rPr>
                <w:rFonts w:cs="Times New Roman"/>
              </w:rPr>
            </w:pPr>
          </w:p>
        </w:tc>
        <w:tc>
          <w:tcPr>
            <w:tcW w:w="1915" w:type="dxa"/>
          </w:tcPr>
          <w:p w:rsidR="00354D31" w:rsidRDefault="00354D31">
            <w:pPr>
              <w:rPr>
                <w:rFonts w:cs="Times New Roman"/>
              </w:rPr>
            </w:pPr>
            <w:r>
              <w:rPr>
                <w:rFonts w:cs="Times New Roman"/>
              </w:rPr>
              <w:t>18</w:t>
            </w:r>
          </w:p>
        </w:tc>
        <w:tc>
          <w:tcPr>
            <w:tcW w:w="1915" w:type="dxa"/>
          </w:tcPr>
          <w:p w:rsidR="00354D31" w:rsidRDefault="00807F6A">
            <w:pPr>
              <w:rPr>
                <w:rFonts w:cs="Times New Roman"/>
              </w:rPr>
            </w:pPr>
            <w:r>
              <w:rPr>
                <w:rFonts w:cs="Times New Roman"/>
              </w:rPr>
              <w:t>14</w:t>
            </w:r>
          </w:p>
        </w:tc>
        <w:tc>
          <w:tcPr>
            <w:tcW w:w="1916" w:type="dxa"/>
          </w:tcPr>
          <w:p w:rsidR="00354D31" w:rsidRDefault="00354D31">
            <w:pPr>
              <w:rPr>
                <w:rFonts w:cs="Times New Roman"/>
              </w:rPr>
            </w:pPr>
          </w:p>
        </w:tc>
      </w:tr>
      <w:tr w:rsidR="00354D31" w:rsidTr="00354D31">
        <w:tc>
          <w:tcPr>
            <w:tcW w:w="1915" w:type="dxa"/>
          </w:tcPr>
          <w:p w:rsidR="00354D31" w:rsidRDefault="00354D31">
            <w:pPr>
              <w:rPr>
                <w:rFonts w:cs="Times New Roman"/>
              </w:rPr>
            </w:pPr>
            <w:r>
              <w:rPr>
                <w:rFonts w:cs="Times New Roman"/>
              </w:rPr>
              <w:t>HHS Service</w:t>
            </w:r>
          </w:p>
        </w:tc>
        <w:tc>
          <w:tcPr>
            <w:tcW w:w="1915" w:type="dxa"/>
          </w:tcPr>
          <w:p w:rsidR="00354D31" w:rsidRDefault="00354D31">
            <w:pPr>
              <w:rPr>
                <w:rFonts w:cs="Times New Roman"/>
              </w:rPr>
            </w:pPr>
          </w:p>
        </w:tc>
        <w:tc>
          <w:tcPr>
            <w:tcW w:w="1915" w:type="dxa"/>
          </w:tcPr>
          <w:p w:rsidR="00354D31" w:rsidRDefault="00354D31">
            <w:pPr>
              <w:rPr>
                <w:rFonts w:cs="Times New Roman"/>
              </w:rPr>
            </w:pPr>
            <w:r>
              <w:rPr>
                <w:rFonts w:cs="Times New Roman"/>
              </w:rPr>
              <w:t>14</w:t>
            </w:r>
          </w:p>
        </w:tc>
        <w:tc>
          <w:tcPr>
            <w:tcW w:w="1915" w:type="dxa"/>
          </w:tcPr>
          <w:p w:rsidR="00354D31" w:rsidRDefault="00807F6A">
            <w:pPr>
              <w:rPr>
                <w:rFonts w:cs="Times New Roman"/>
              </w:rPr>
            </w:pPr>
            <w:r>
              <w:rPr>
                <w:rFonts w:cs="Times New Roman"/>
              </w:rPr>
              <w:t>8</w:t>
            </w:r>
          </w:p>
        </w:tc>
        <w:tc>
          <w:tcPr>
            <w:tcW w:w="1916" w:type="dxa"/>
          </w:tcPr>
          <w:p w:rsidR="00354D31" w:rsidRDefault="00354D31">
            <w:pPr>
              <w:rPr>
                <w:rFonts w:cs="Times New Roman"/>
              </w:rPr>
            </w:pPr>
          </w:p>
        </w:tc>
      </w:tr>
      <w:tr w:rsidR="00354D31" w:rsidTr="00354D31">
        <w:tc>
          <w:tcPr>
            <w:tcW w:w="1915" w:type="dxa"/>
          </w:tcPr>
          <w:p w:rsidR="00354D31" w:rsidRDefault="00354D31">
            <w:pPr>
              <w:rPr>
                <w:rFonts w:cs="Times New Roman"/>
              </w:rPr>
            </w:pPr>
            <w:r>
              <w:rPr>
                <w:rFonts w:cs="Times New Roman"/>
              </w:rPr>
              <w:t>HHS Leadership</w:t>
            </w:r>
          </w:p>
        </w:tc>
        <w:tc>
          <w:tcPr>
            <w:tcW w:w="1915" w:type="dxa"/>
          </w:tcPr>
          <w:p w:rsidR="00354D31" w:rsidRDefault="00354D31">
            <w:pPr>
              <w:rPr>
                <w:rFonts w:cs="Times New Roman"/>
              </w:rPr>
            </w:pPr>
          </w:p>
        </w:tc>
        <w:tc>
          <w:tcPr>
            <w:tcW w:w="1915" w:type="dxa"/>
          </w:tcPr>
          <w:p w:rsidR="00354D31" w:rsidRDefault="00354D31">
            <w:pPr>
              <w:rPr>
                <w:rFonts w:cs="Times New Roman"/>
              </w:rPr>
            </w:pPr>
            <w:r>
              <w:rPr>
                <w:rFonts w:cs="Times New Roman"/>
              </w:rPr>
              <w:t>9</w:t>
            </w:r>
          </w:p>
        </w:tc>
        <w:tc>
          <w:tcPr>
            <w:tcW w:w="1915" w:type="dxa"/>
          </w:tcPr>
          <w:p w:rsidR="00354D31" w:rsidRDefault="00807F6A">
            <w:pPr>
              <w:rPr>
                <w:rFonts w:cs="Times New Roman"/>
              </w:rPr>
            </w:pPr>
            <w:r>
              <w:rPr>
                <w:rFonts w:cs="Times New Roman"/>
              </w:rPr>
              <w:t>15</w:t>
            </w:r>
          </w:p>
        </w:tc>
        <w:tc>
          <w:tcPr>
            <w:tcW w:w="1916" w:type="dxa"/>
          </w:tcPr>
          <w:p w:rsidR="00354D31" w:rsidRDefault="00354D31">
            <w:pPr>
              <w:rPr>
                <w:rFonts w:cs="Times New Roman"/>
              </w:rPr>
            </w:pPr>
          </w:p>
        </w:tc>
      </w:tr>
      <w:tr w:rsidR="00354D31" w:rsidTr="00354D31">
        <w:tc>
          <w:tcPr>
            <w:tcW w:w="1915" w:type="dxa"/>
          </w:tcPr>
          <w:p w:rsidR="00354D31" w:rsidRDefault="00354D31">
            <w:pPr>
              <w:rPr>
                <w:rFonts w:cs="Times New Roman"/>
              </w:rPr>
            </w:pPr>
            <w:r>
              <w:rPr>
                <w:rFonts w:cs="Times New Roman"/>
              </w:rPr>
              <w:t>COB Graduate</w:t>
            </w:r>
          </w:p>
        </w:tc>
        <w:tc>
          <w:tcPr>
            <w:tcW w:w="1915" w:type="dxa"/>
          </w:tcPr>
          <w:p w:rsidR="00354D31" w:rsidRDefault="00354D31">
            <w:pPr>
              <w:rPr>
                <w:rFonts w:cs="Times New Roman"/>
              </w:rPr>
            </w:pPr>
          </w:p>
        </w:tc>
        <w:tc>
          <w:tcPr>
            <w:tcW w:w="1915" w:type="dxa"/>
          </w:tcPr>
          <w:p w:rsidR="00354D31" w:rsidRDefault="00354D31">
            <w:pPr>
              <w:rPr>
                <w:rFonts w:cs="Times New Roman"/>
              </w:rPr>
            </w:pPr>
          </w:p>
        </w:tc>
        <w:tc>
          <w:tcPr>
            <w:tcW w:w="1915" w:type="dxa"/>
          </w:tcPr>
          <w:p w:rsidR="00354D31" w:rsidRDefault="00807F6A">
            <w:pPr>
              <w:rPr>
                <w:rFonts w:cs="Times New Roman"/>
              </w:rPr>
            </w:pPr>
            <w:r>
              <w:rPr>
                <w:rFonts w:cs="Times New Roman"/>
              </w:rPr>
              <w:t>18</w:t>
            </w:r>
          </w:p>
        </w:tc>
        <w:tc>
          <w:tcPr>
            <w:tcW w:w="1916" w:type="dxa"/>
          </w:tcPr>
          <w:p w:rsidR="00354D31" w:rsidRDefault="00354D31">
            <w:pPr>
              <w:rPr>
                <w:rFonts w:cs="Times New Roman"/>
              </w:rPr>
            </w:pPr>
          </w:p>
        </w:tc>
      </w:tr>
      <w:tr w:rsidR="00354D31" w:rsidTr="00354D31">
        <w:tc>
          <w:tcPr>
            <w:tcW w:w="1915" w:type="dxa"/>
          </w:tcPr>
          <w:p w:rsidR="00354D31" w:rsidRDefault="00354D31">
            <w:pPr>
              <w:rPr>
                <w:rFonts w:cs="Times New Roman"/>
              </w:rPr>
            </w:pPr>
            <w:r>
              <w:rPr>
                <w:rFonts w:cs="Times New Roman"/>
              </w:rPr>
              <w:t>COB Teaching</w:t>
            </w:r>
          </w:p>
        </w:tc>
        <w:tc>
          <w:tcPr>
            <w:tcW w:w="1915" w:type="dxa"/>
          </w:tcPr>
          <w:p w:rsidR="00354D31" w:rsidRDefault="00354D31">
            <w:pPr>
              <w:rPr>
                <w:rFonts w:cs="Times New Roman"/>
              </w:rPr>
            </w:pPr>
          </w:p>
        </w:tc>
        <w:tc>
          <w:tcPr>
            <w:tcW w:w="1915" w:type="dxa"/>
          </w:tcPr>
          <w:p w:rsidR="00354D31" w:rsidRDefault="00354D31">
            <w:pPr>
              <w:rPr>
                <w:rFonts w:cs="Times New Roman"/>
              </w:rPr>
            </w:pPr>
          </w:p>
        </w:tc>
        <w:tc>
          <w:tcPr>
            <w:tcW w:w="1915" w:type="dxa"/>
          </w:tcPr>
          <w:p w:rsidR="00354D31" w:rsidRDefault="00807F6A">
            <w:pPr>
              <w:rPr>
                <w:rFonts w:cs="Times New Roman"/>
              </w:rPr>
            </w:pPr>
            <w:r>
              <w:rPr>
                <w:rFonts w:cs="Times New Roman"/>
              </w:rPr>
              <w:t>3</w:t>
            </w:r>
          </w:p>
        </w:tc>
        <w:tc>
          <w:tcPr>
            <w:tcW w:w="1916" w:type="dxa"/>
          </w:tcPr>
          <w:p w:rsidR="00354D31" w:rsidRDefault="00354D31">
            <w:pPr>
              <w:rPr>
                <w:rFonts w:cs="Times New Roman"/>
              </w:rPr>
            </w:pPr>
          </w:p>
        </w:tc>
      </w:tr>
      <w:tr w:rsidR="00354D31" w:rsidTr="00354D31">
        <w:tc>
          <w:tcPr>
            <w:tcW w:w="1915" w:type="dxa"/>
          </w:tcPr>
          <w:p w:rsidR="00354D31" w:rsidRDefault="00354D31">
            <w:pPr>
              <w:rPr>
                <w:rFonts w:cs="Times New Roman"/>
              </w:rPr>
            </w:pPr>
            <w:r>
              <w:rPr>
                <w:rFonts w:cs="Times New Roman"/>
              </w:rPr>
              <w:t>COB Professor</w:t>
            </w:r>
          </w:p>
        </w:tc>
        <w:tc>
          <w:tcPr>
            <w:tcW w:w="1915" w:type="dxa"/>
          </w:tcPr>
          <w:p w:rsidR="00354D31" w:rsidRDefault="00354D31">
            <w:pPr>
              <w:rPr>
                <w:rFonts w:cs="Times New Roman"/>
              </w:rPr>
            </w:pPr>
          </w:p>
        </w:tc>
        <w:tc>
          <w:tcPr>
            <w:tcW w:w="1915" w:type="dxa"/>
          </w:tcPr>
          <w:p w:rsidR="00354D31" w:rsidRDefault="00354D31">
            <w:pPr>
              <w:rPr>
                <w:rFonts w:cs="Times New Roman"/>
              </w:rPr>
            </w:pPr>
          </w:p>
        </w:tc>
        <w:tc>
          <w:tcPr>
            <w:tcW w:w="1915" w:type="dxa"/>
          </w:tcPr>
          <w:p w:rsidR="00354D31" w:rsidRDefault="00807F6A">
            <w:pPr>
              <w:rPr>
                <w:rFonts w:cs="Times New Roman"/>
              </w:rPr>
            </w:pPr>
            <w:r>
              <w:rPr>
                <w:rFonts w:cs="Times New Roman"/>
              </w:rPr>
              <w:t>97</w:t>
            </w:r>
          </w:p>
        </w:tc>
        <w:tc>
          <w:tcPr>
            <w:tcW w:w="1916" w:type="dxa"/>
          </w:tcPr>
          <w:p w:rsidR="00354D31" w:rsidRDefault="00354D31">
            <w:pPr>
              <w:rPr>
                <w:rFonts w:cs="Times New Roman"/>
              </w:rPr>
            </w:pPr>
          </w:p>
        </w:tc>
      </w:tr>
      <w:tr w:rsidR="00354D31" w:rsidTr="00354D31">
        <w:tc>
          <w:tcPr>
            <w:tcW w:w="1915" w:type="dxa"/>
          </w:tcPr>
          <w:p w:rsidR="00354D31" w:rsidRDefault="00354D31">
            <w:pPr>
              <w:rPr>
                <w:rFonts w:cs="Times New Roman"/>
              </w:rPr>
            </w:pPr>
            <w:r>
              <w:rPr>
                <w:rFonts w:cs="Times New Roman"/>
              </w:rPr>
              <w:t>COB Research</w:t>
            </w:r>
          </w:p>
        </w:tc>
        <w:tc>
          <w:tcPr>
            <w:tcW w:w="1915" w:type="dxa"/>
          </w:tcPr>
          <w:p w:rsidR="00354D31" w:rsidRDefault="00354D31">
            <w:pPr>
              <w:rPr>
                <w:rFonts w:cs="Times New Roman"/>
              </w:rPr>
            </w:pPr>
          </w:p>
        </w:tc>
        <w:tc>
          <w:tcPr>
            <w:tcW w:w="1915" w:type="dxa"/>
          </w:tcPr>
          <w:p w:rsidR="00354D31" w:rsidRDefault="00354D31">
            <w:pPr>
              <w:rPr>
                <w:rFonts w:cs="Times New Roman"/>
              </w:rPr>
            </w:pPr>
          </w:p>
        </w:tc>
        <w:tc>
          <w:tcPr>
            <w:tcW w:w="1915" w:type="dxa"/>
          </w:tcPr>
          <w:p w:rsidR="00354D31" w:rsidRDefault="00807F6A">
            <w:pPr>
              <w:rPr>
                <w:rFonts w:cs="Times New Roman"/>
              </w:rPr>
            </w:pPr>
            <w:r>
              <w:rPr>
                <w:rFonts w:cs="Times New Roman"/>
              </w:rPr>
              <w:t>7</w:t>
            </w:r>
          </w:p>
        </w:tc>
        <w:tc>
          <w:tcPr>
            <w:tcW w:w="1916" w:type="dxa"/>
          </w:tcPr>
          <w:p w:rsidR="00354D31" w:rsidRDefault="00354D31">
            <w:pPr>
              <w:rPr>
                <w:rFonts w:cs="Times New Roman"/>
              </w:rPr>
            </w:pPr>
          </w:p>
        </w:tc>
      </w:tr>
      <w:tr w:rsidR="00354D31" w:rsidTr="00354D31">
        <w:tc>
          <w:tcPr>
            <w:tcW w:w="1915" w:type="dxa"/>
          </w:tcPr>
          <w:p w:rsidR="00354D31" w:rsidRDefault="00354D31">
            <w:pPr>
              <w:rPr>
                <w:rFonts w:cs="Times New Roman"/>
              </w:rPr>
            </w:pPr>
            <w:r>
              <w:rPr>
                <w:rFonts w:cs="Times New Roman"/>
              </w:rPr>
              <w:t>CEAP Soaring</w:t>
            </w:r>
          </w:p>
        </w:tc>
        <w:tc>
          <w:tcPr>
            <w:tcW w:w="1915" w:type="dxa"/>
          </w:tcPr>
          <w:p w:rsidR="00354D31" w:rsidRDefault="00354D31">
            <w:pPr>
              <w:rPr>
                <w:rFonts w:cs="Times New Roman"/>
              </w:rPr>
            </w:pPr>
          </w:p>
        </w:tc>
        <w:tc>
          <w:tcPr>
            <w:tcW w:w="1915" w:type="dxa"/>
          </w:tcPr>
          <w:p w:rsidR="00354D31" w:rsidRDefault="00354D31">
            <w:pPr>
              <w:rPr>
                <w:rFonts w:cs="Times New Roman"/>
              </w:rPr>
            </w:pPr>
          </w:p>
        </w:tc>
        <w:tc>
          <w:tcPr>
            <w:tcW w:w="1915" w:type="dxa"/>
          </w:tcPr>
          <w:p w:rsidR="00354D31" w:rsidRDefault="00807F6A">
            <w:pPr>
              <w:rPr>
                <w:rFonts w:cs="Times New Roman"/>
              </w:rPr>
            </w:pPr>
            <w:r>
              <w:rPr>
                <w:rFonts w:cs="Times New Roman"/>
              </w:rPr>
              <w:t xml:space="preserve">Not offered </w:t>
            </w:r>
          </w:p>
        </w:tc>
        <w:tc>
          <w:tcPr>
            <w:tcW w:w="1916" w:type="dxa"/>
          </w:tcPr>
          <w:p w:rsidR="00354D31" w:rsidRDefault="00354D31">
            <w:pPr>
              <w:rPr>
                <w:rFonts w:cs="Times New Roman"/>
              </w:rPr>
            </w:pPr>
          </w:p>
        </w:tc>
      </w:tr>
      <w:tr w:rsidR="00354D31" w:rsidTr="00354D31">
        <w:tc>
          <w:tcPr>
            <w:tcW w:w="1915" w:type="dxa"/>
          </w:tcPr>
          <w:p w:rsidR="00354D31" w:rsidRDefault="00354D31">
            <w:pPr>
              <w:rPr>
                <w:rFonts w:cs="Times New Roman"/>
              </w:rPr>
            </w:pPr>
            <w:r>
              <w:rPr>
                <w:rFonts w:cs="Times New Roman"/>
              </w:rPr>
              <w:t xml:space="preserve">CEAP Research </w:t>
            </w:r>
          </w:p>
        </w:tc>
        <w:tc>
          <w:tcPr>
            <w:tcW w:w="1915" w:type="dxa"/>
          </w:tcPr>
          <w:p w:rsidR="00354D31" w:rsidRDefault="00354D31">
            <w:pPr>
              <w:rPr>
                <w:rFonts w:cs="Times New Roman"/>
              </w:rPr>
            </w:pPr>
          </w:p>
        </w:tc>
        <w:tc>
          <w:tcPr>
            <w:tcW w:w="1915" w:type="dxa"/>
          </w:tcPr>
          <w:p w:rsidR="00354D31" w:rsidRDefault="00354D31">
            <w:pPr>
              <w:rPr>
                <w:rFonts w:cs="Times New Roman"/>
              </w:rPr>
            </w:pPr>
          </w:p>
        </w:tc>
        <w:tc>
          <w:tcPr>
            <w:tcW w:w="1915" w:type="dxa"/>
          </w:tcPr>
          <w:p w:rsidR="00354D31" w:rsidRDefault="00807F6A">
            <w:pPr>
              <w:rPr>
                <w:rFonts w:cs="Times New Roman"/>
              </w:rPr>
            </w:pPr>
            <w:r>
              <w:rPr>
                <w:rFonts w:cs="Times New Roman"/>
              </w:rPr>
              <w:t>13</w:t>
            </w:r>
          </w:p>
        </w:tc>
        <w:tc>
          <w:tcPr>
            <w:tcW w:w="1916" w:type="dxa"/>
          </w:tcPr>
          <w:p w:rsidR="00354D31" w:rsidRDefault="00354D31">
            <w:pPr>
              <w:rPr>
                <w:rFonts w:cs="Times New Roman"/>
              </w:rPr>
            </w:pPr>
          </w:p>
        </w:tc>
      </w:tr>
      <w:tr w:rsidR="00354D31" w:rsidTr="00354D31">
        <w:tc>
          <w:tcPr>
            <w:tcW w:w="1915" w:type="dxa"/>
          </w:tcPr>
          <w:p w:rsidR="00354D31" w:rsidRDefault="00354D31">
            <w:pPr>
              <w:rPr>
                <w:rFonts w:cs="Times New Roman"/>
              </w:rPr>
            </w:pPr>
            <w:r>
              <w:rPr>
                <w:rFonts w:cs="Times New Roman"/>
              </w:rPr>
              <w:t>CEAP Service</w:t>
            </w:r>
          </w:p>
        </w:tc>
        <w:tc>
          <w:tcPr>
            <w:tcW w:w="1915" w:type="dxa"/>
          </w:tcPr>
          <w:p w:rsidR="00354D31" w:rsidRDefault="00354D31">
            <w:pPr>
              <w:rPr>
                <w:rFonts w:cs="Times New Roman"/>
              </w:rPr>
            </w:pPr>
          </w:p>
        </w:tc>
        <w:tc>
          <w:tcPr>
            <w:tcW w:w="1915" w:type="dxa"/>
          </w:tcPr>
          <w:p w:rsidR="00354D31" w:rsidRDefault="00354D31">
            <w:pPr>
              <w:rPr>
                <w:rFonts w:cs="Times New Roman"/>
              </w:rPr>
            </w:pPr>
          </w:p>
        </w:tc>
        <w:tc>
          <w:tcPr>
            <w:tcW w:w="1915" w:type="dxa"/>
          </w:tcPr>
          <w:p w:rsidR="00354D31" w:rsidRDefault="00807F6A">
            <w:pPr>
              <w:rPr>
                <w:rFonts w:cs="Times New Roman"/>
              </w:rPr>
            </w:pPr>
            <w:r>
              <w:rPr>
                <w:rFonts w:cs="Times New Roman"/>
              </w:rPr>
              <w:t>13</w:t>
            </w:r>
          </w:p>
        </w:tc>
        <w:tc>
          <w:tcPr>
            <w:tcW w:w="1916" w:type="dxa"/>
          </w:tcPr>
          <w:p w:rsidR="00354D31" w:rsidRDefault="00354D31">
            <w:pPr>
              <w:rPr>
                <w:rFonts w:cs="Times New Roman"/>
              </w:rPr>
            </w:pPr>
          </w:p>
        </w:tc>
      </w:tr>
      <w:tr w:rsidR="00354D31" w:rsidTr="00354D31">
        <w:tc>
          <w:tcPr>
            <w:tcW w:w="1915" w:type="dxa"/>
          </w:tcPr>
          <w:p w:rsidR="00354D31" w:rsidRDefault="00354D31">
            <w:pPr>
              <w:rPr>
                <w:rFonts w:cs="Times New Roman"/>
              </w:rPr>
            </w:pPr>
            <w:r>
              <w:rPr>
                <w:rFonts w:cs="Times New Roman"/>
              </w:rPr>
              <w:t xml:space="preserve">CEAP Teaching </w:t>
            </w:r>
          </w:p>
        </w:tc>
        <w:tc>
          <w:tcPr>
            <w:tcW w:w="1915" w:type="dxa"/>
          </w:tcPr>
          <w:p w:rsidR="00354D31" w:rsidRDefault="00354D31">
            <w:pPr>
              <w:rPr>
                <w:rFonts w:cs="Times New Roman"/>
              </w:rPr>
            </w:pPr>
          </w:p>
        </w:tc>
        <w:tc>
          <w:tcPr>
            <w:tcW w:w="1915" w:type="dxa"/>
          </w:tcPr>
          <w:p w:rsidR="00354D31" w:rsidRDefault="00354D31">
            <w:pPr>
              <w:rPr>
                <w:rFonts w:cs="Times New Roman"/>
              </w:rPr>
            </w:pPr>
          </w:p>
        </w:tc>
        <w:tc>
          <w:tcPr>
            <w:tcW w:w="1915" w:type="dxa"/>
          </w:tcPr>
          <w:p w:rsidR="00354D31" w:rsidRDefault="00807F6A">
            <w:pPr>
              <w:rPr>
                <w:rFonts w:cs="Times New Roman"/>
              </w:rPr>
            </w:pPr>
            <w:r>
              <w:rPr>
                <w:rFonts w:cs="Times New Roman"/>
              </w:rPr>
              <w:t>49</w:t>
            </w:r>
          </w:p>
        </w:tc>
        <w:tc>
          <w:tcPr>
            <w:tcW w:w="1916" w:type="dxa"/>
          </w:tcPr>
          <w:p w:rsidR="00354D31" w:rsidRDefault="00354D31">
            <w:pPr>
              <w:rPr>
                <w:rFonts w:cs="Times New Roman"/>
              </w:rPr>
            </w:pPr>
          </w:p>
        </w:tc>
      </w:tr>
    </w:tbl>
    <w:p w:rsidR="00354D31" w:rsidRDefault="00354D31">
      <w:pPr>
        <w:rPr>
          <w:rFonts w:cs="Times New Roman"/>
        </w:rPr>
      </w:pPr>
    </w:p>
    <w:p w:rsidR="00FA33ED" w:rsidRDefault="00FA33ED" w:rsidP="00A40828">
      <w:pPr>
        <w:spacing w:after="0" w:line="240" w:lineRule="auto"/>
        <w:rPr>
          <w:rFonts w:cs="Times New Roman"/>
          <w:b/>
        </w:rPr>
      </w:pPr>
    </w:p>
    <w:p w:rsidR="00FA33ED" w:rsidRDefault="00FA33ED" w:rsidP="00A40828">
      <w:pPr>
        <w:spacing w:after="0" w:line="240" w:lineRule="auto"/>
        <w:rPr>
          <w:rFonts w:cs="Times New Roman"/>
          <w:b/>
        </w:rPr>
      </w:pPr>
    </w:p>
    <w:p w:rsidR="00FA33ED" w:rsidRDefault="00FA33ED" w:rsidP="00A40828">
      <w:pPr>
        <w:spacing w:after="0" w:line="240" w:lineRule="auto"/>
        <w:rPr>
          <w:rFonts w:cs="Times New Roman"/>
          <w:b/>
        </w:rPr>
      </w:pPr>
    </w:p>
    <w:p w:rsidR="00FA33ED" w:rsidRDefault="00FA33ED" w:rsidP="00A40828">
      <w:pPr>
        <w:spacing w:after="0" w:line="240" w:lineRule="auto"/>
        <w:rPr>
          <w:rFonts w:cs="Times New Roman"/>
          <w:b/>
        </w:rPr>
      </w:pPr>
    </w:p>
    <w:p w:rsidR="00A40828" w:rsidRPr="00A40828" w:rsidRDefault="001E39B9" w:rsidP="00A40828">
      <w:pPr>
        <w:spacing w:after="0" w:line="240" w:lineRule="auto"/>
        <w:rPr>
          <w:rFonts w:cs="Times New Roman"/>
        </w:rPr>
      </w:pPr>
      <w:r>
        <w:rPr>
          <w:rFonts w:cs="Times New Roman"/>
          <w:b/>
        </w:rPr>
        <w:t>Appendix 2</w:t>
      </w:r>
      <w:r w:rsidR="00A40828">
        <w:rPr>
          <w:rFonts w:cs="Times New Roman"/>
          <w:b/>
        </w:rPr>
        <w:t xml:space="preserve">: </w:t>
      </w:r>
      <w:r w:rsidR="00A40828" w:rsidRPr="00A40828">
        <w:rPr>
          <w:rFonts w:cs="Times New Roman"/>
          <w:b/>
        </w:rPr>
        <w:t xml:space="preserve">Awards included in the </w:t>
      </w:r>
      <w:r w:rsidR="00A40828">
        <w:rPr>
          <w:rFonts w:cs="Times New Roman"/>
          <w:b/>
        </w:rPr>
        <w:t xml:space="preserve">2013-14 </w:t>
      </w:r>
      <w:r w:rsidR="00A40828" w:rsidRPr="00A40828">
        <w:rPr>
          <w:rFonts w:cs="Times New Roman"/>
          <w:b/>
        </w:rPr>
        <w:t>Integrated Awards Process:</w:t>
      </w:r>
      <w:r w:rsidR="00A40828">
        <w:rPr>
          <w:rFonts w:cs="Times New Roman"/>
        </w:rPr>
        <w:t xml:space="preserve"> </w:t>
      </w:r>
      <w:r w:rsidR="00A40828">
        <w:rPr>
          <w:rFonts w:cs="Times New Roman"/>
        </w:rPr>
        <w:br/>
      </w:r>
      <w:r w:rsidR="00A40828" w:rsidRPr="005403AC">
        <w:rPr>
          <w:rFonts w:ascii="Garamond" w:hAnsi="Garamond"/>
          <w:u w:val="single"/>
        </w:rPr>
        <w:br/>
      </w:r>
      <w:r w:rsidR="00A40828" w:rsidRPr="00B50819">
        <w:rPr>
          <w:rFonts w:ascii="Garamond" w:hAnsi="Garamond"/>
          <w:u w:val="single"/>
        </w:rPr>
        <w:t>University Award</w:t>
      </w:r>
      <w:r w:rsidR="00A40828">
        <w:rPr>
          <w:rFonts w:ascii="Garamond" w:hAnsi="Garamond"/>
          <w:u w:val="single"/>
        </w:rPr>
        <w:t>s</w:t>
      </w:r>
      <w:r w:rsidR="00A40828">
        <w:rPr>
          <w:rFonts w:cs="Times New Roman"/>
        </w:rPr>
        <w:br/>
      </w:r>
      <w:r w:rsidR="00A40828" w:rsidRPr="00B50819">
        <w:rPr>
          <w:rFonts w:ascii="Garamond" w:hAnsi="Garamond"/>
        </w:rPr>
        <w:t>Chancellor’s Distinguished Teaching Award</w:t>
      </w:r>
    </w:p>
    <w:p w:rsidR="00A40828" w:rsidRPr="00B50819" w:rsidRDefault="00A40828" w:rsidP="00A40828">
      <w:pPr>
        <w:spacing w:after="0" w:line="240" w:lineRule="auto"/>
        <w:rPr>
          <w:rFonts w:ascii="Garamond" w:hAnsi="Garamond"/>
        </w:rPr>
      </w:pPr>
      <w:r w:rsidRPr="00B50819">
        <w:rPr>
          <w:rFonts w:ascii="Garamond" w:hAnsi="Garamond"/>
        </w:rPr>
        <w:t>Excellence in Teaching Liberal Studies Award</w:t>
      </w:r>
    </w:p>
    <w:p w:rsidR="00A40828" w:rsidRPr="00B50819" w:rsidRDefault="00A40828" w:rsidP="00A40828">
      <w:pPr>
        <w:spacing w:after="0" w:line="240" w:lineRule="auto"/>
        <w:rPr>
          <w:rFonts w:ascii="Garamond" w:hAnsi="Garamond"/>
        </w:rPr>
      </w:pPr>
      <w:r w:rsidRPr="00B50819">
        <w:rPr>
          <w:rFonts w:ascii="Garamond" w:hAnsi="Garamond"/>
        </w:rPr>
        <w:t xml:space="preserve">Jay M. Robinson </w:t>
      </w:r>
      <w:proofErr w:type="spellStart"/>
      <w:r w:rsidRPr="00B50819">
        <w:rPr>
          <w:rFonts w:ascii="Garamond" w:hAnsi="Garamond"/>
        </w:rPr>
        <w:t>eTeaching</w:t>
      </w:r>
      <w:proofErr w:type="spellEnd"/>
      <w:r w:rsidRPr="00B50819">
        <w:rPr>
          <w:rFonts w:ascii="Garamond" w:hAnsi="Garamond"/>
        </w:rPr>
        <w:t xml:space="preserve"> Award</w:t>
      </w:r>
    </w:p>
    <w:p w:rsidR="00A40828" w:rsidRDefault="00A40828" w:rsidP="00A40828">
      <w:pPr>
        <w:spacing w:after="0" w:line="240" w:lineRule="auto"/>
        <w:rPr>
          <w:rFonts w:ascii="Garamond" w:hAnsi="Garamond"/>
        </w:rPr>
      </w:pPr>
      <w:proofErr w:type="spellStart"/>
      <w:r w:rsidRPr="00B50819">
        <w:rPr>
          <w:rFonts w:ascii="Garamond" w:hAnsi="Garamond"/>
        </w:rPr>
        <w:t>SoTL</w:t>
      </w:r>
      <w:proofErr w:type="spellEnd"/>
      <w:r w:rsidRPr="00B50819">
        <w:rPr>
          <w:rFonts w:ascii="Garamond" w:hAnsi="Garamond"/>
        </w:rPr>
        <w:t xml:space="preserve"> Scholar Award</w:t>
      </w:r>
    </w:p>
    <w:p w:rsidR="00A40828" w:rsidRPr="00B50819" w:rsidRDefault="00A40828" w:rsidP="00A40828">
      <w:pPr>
        <w:spacing w:after="0" w:line="240" w:lineRule="auto"/>
        <w:rPr>
          <w:rFonts w:ascii="Garamond" w:hAnsi="Garamond"/>
        </w:rPr>
      </w:pPr>
      <w:r>
        <w:rPr>
          <w:rFonts w:ascii="Garamond" w:hAnsi="Garamond"/>
        </w:rPr>
        <w:t xml:space="preserve">Last Lecture Award </w:t>
      </w:r>
    </w:p>
    <w:p w:rsidR="00A40828" w:rsidRPr="00B50819" w:rsidRDefault="00A40828" w:rsidP="00A40828">
      <w:pPr>
        <w:pStyle w:val="NormalWeb"/>
        <w:spacing w:before="0" w:beforeAutospacing="0" w:after="0"/>
        <w:rPr>
          <w:rFonts w:ascii="Garamond" w:hAnsi="Garamond"/>
          <w:sz w:val="22"/>
          <w:szCs w:val="22"/>
          <w:u w:val="single"/>
        </w:rPr>
      </w:pPr>
      <w:r w:rsidRPr="00B50819">
        <w:rPr>
          <w:rFonts w:ascii="Garamond" w:hAnsi="Garamond"/>
          <w:sz w:val="22"/>
          <w:szCs w:val="22"/>
        </w:rPr>
        <w:br/>
      </w:r>
      <w:r w:rsidRPr="00B50819">
        <w:rPr>
          <w:rFonts w:ascii="Garamond" w:hAnsi="Garamond"/>
          <w:sz w:val="22"/>
          <w:szCs w:val="22"/>
          <w:u w:val="single"/>
        </w:rPr>
        <w:t>College of Arts &amp; Sciences</w:t>
      </w:r>
    </w:p>
    <w:p w:rsidR="00A40828" w:rsidRDefault="00A40828" w:rsidP="00A40828">
      <w:pPr>
        <w:spacing w:after="0" w:line="240" w:lineRule="auto"/>
        <w:rPr>
          <w:rFonts w:ascii="Garamond" w:hAnsi="Garamond"/>
        </w:rPr>
      </w:pPr>
      <w:r w:rsidRPr="00B50819">
        <w:rPr>
          <w:rFonts w:ascii="Garamond" w:hAnsi="Garamond"/>
        </w:rPr>
        <w:t>College of Arts and Sciences Teaching Award</w:t>
      </w:r>
    </w:p>
    <w:p w:rsidR="00A40828" w:rsidRDefault="00A40828" w:rsidP="00A40828">
      <w:pPr>
        <w:spacing w:after="0" w:line="240" w:lineRule="auto"/>
        <w:rPr>
          <w:rFonts w:ascii="Garamond" w:hAnsi="Garamond"/>
        </w:rPr>
      </w:pPr>
    </w:p>
    <w:p w:rsidR="00A40828" w:rsidRPr="00A40828" w:rsidRDefault="00A40828" w:rsidP="00A40828">
      <w:pPr>
        <w:spacing w:after="0" w:line="240" w:lineRule="auto"/>
        <w:rPr>
          <w:rFonts w:ascii="Garamond" w:hAnsi="Garamond"/>
          <w:color w:val="7030A0"/>
          <w:u w:val="single"/>
        </w:rPr>
      </w:pPr>
      <w:r w:rsidRPr="00A40828">
        <w:rPr>
          <w:rFonts w:ascii="Garamond" w:hAnsi="Garamond"/>
          <w:color w:val="7030A0"/>
          <w:u w:val="single"/>
        </w:rPr>
        <w:t>College of Business</w:t>
      </w:r>
      <w:r>
        <w:rPr>
          <w:rFonts w:ascii="Garamond" w:hAnsi="Garamond"/>
          <w:color w:val="7030A0"/>
          <w:u w:val="single"/>
        </w:rPr>
        <w:t xml:space="preserve"> (added 2012-13)</w:t>
      </w:r>
    </w:p>
    <w:p w:rsidR="00A40828" w:rsidRPr="00A40828" w:rsidRDefault="00A40828" w:rsidP="00A40828">
      <w:pPr>
        <w:spacing w:after="0" w:line="240" w:lineRule="auto"/>
        <w:rPr>
          <w:rFonts w:ascii="Garamond" w:hAnsi="Garamond"/>
          <w:color w:val="7030A0"/>
        </w:rPr>
      </w:pPr>
      <w:r w:rsidRPr="00A40828">
        <w:rPr>
          <w:rFonts w:ascii="Garamond" w:hAnsi="Garamond"/>
          <w:color w:val="7030A0"/>
        </w:rPr>
        <w:t>COB Graduate Faculty Teaching Award</w:t>
      </w:r>
    </w:p>
    <w:p w:rsidR="00A40828" w:rsidRPr="00A40828" w:rsidRDefault="00A40828" w:rsidP="00A40828">
      <w:pPr>
        <w:spacing w:after="0" w:line="240" w:lineRule="auto"/>
        <w:rPr>
          <w:rFonts w:ascii="Garamond" w:hAnsi="Garamond"/>
          <w:color w:val="7030A0"/>
        </w:rPr>
      </w:pPr>
      <w:r w:rsidRPr="00A40828">
        <w:rPr>
          <w:rFonts w:ascii="Garamond" w:hAnsi="Garamond"/>
          <w:color w:val="7030A0"/>
        </w:rPr>
        <w:t>COB Board of Governors’ Creative and Innovative Teaching Award</w:t>
      </w:r>
    </w:p>
    <w:p w:rsidR="00A40828" w:rsidRPr="00A40828" w:rsidRDefault="00A40828" w:rsidP="00A40828">
      <w:pPr>
        <w:spacing w:after="0" w:line="240" w:lineRule="auto"/>
        <w:rPr>
          <w:rFonts w:ascii="Garamond" w:hAnsi="Garamond"/>
          <w:color w:val="7030A0"/>
        </w:rPr>
      </w:pPr>
      <w:r w:rsidRPr="00A40828">
        <w:rPr>
          <w:rFonts w:ascii="Garamond" w:hAnsi="Garamond"/>
          <w:color w:val="7030A0"/>
        </w:rPr>
        <w:t>COB Professor of Excellence Award</w:t>
      </w:r>
    </w:p>
    <w:p w:rsidR="00A40828" w:rsidRPr="00A40828" w:rsidRDefault="00A40828" w:rsidP="00A40828">
      <w:pPr>
        <w:spacing w:after="0" w:line="240" w:lineRule="auto"/>
        <w:rPr>
          <w:rFonts w:ascii="Garamond" w:hAnsi="Garamond"/>
          <w:color w:val="7030A0"/>
        </w:rPr>
      </w:pPr>
      <w:r w:rsidRPr="00A40828">
        <w:rPr>
          <w:rFonts w:ascii="Garamond" w:hAnsi="Garamond"/>
          <w:color w:val="7030A0"/>
        </w:rPr>
        <w:t xml:space="preserve">COB Excellence in Research Award </w:t>
      </w:r>
    </w:p>
    <w:p w:rsidR="00A40828" w:rsidRDefault="00A40828" w:rsidP="00A40828">
      <w:pPr>
        <w:spacing w:after="0" w:line="240" w:lineRule="auto"/>
        <w:rPr>
          <w:rFonts w:ascii="Garamond" w:hAnsi="Garamond"/>
        </w:rPr>
      </w:pPr>
    </w:p>
    <w:p w:rsidR="00A40828" w:rsidRPr="00A40828" w:rsidRDefault="00A40828" w:rsidP="00A40828">
      <w:pPr>
        <w:spacing w:after="0" w:line="240" w:lineRule="auto"/>
        <w:rPr>
          <w:rFonts w:ascii="Garamond" w:hAnsi="Garamond"/>
          <w:color w:val="7030A0"/>
          <w:u w:val="single"/>
        </w:rPr>
      </w:pPr>
      <w:r w:rsidRPr="00A40828">
        <w:rPr>
          <w:rFonts w:ascii="Garamond" w:hAnsi="Garamond"/>
          <w:color w:val="7030A0"/>
          <w:u w:val="single"/>
        </w:rPr>
        <w:t>College of Education and Allied Professions</w:t>
      </w:r>
      <w:r>
        <w:rPr>
          <w:rFonts w:ascii="Garamond" w:hAnsi="Garamond"/>
          <w:color w:val="7030A0"/>
          <w:u w:val="single"/>
        </w:rPr>
        <w:t xml:space="preserve"> (added 2012-13)</w:t>
      </w:r>
    </w:p>
    <w:p w:rsidR="00A40828" w:rsidRPr="00A40828" w:rsidRDefault="00A40828" w:rsidP="00A40828">
      <w:pPr>
        <w:spacing w:after="0" w:line="240" w:lineRule="auto"/>
        <w:rPr>
          <w:rFonts w:ascii="Garamond" w:hAnsi="Garamond"/>
          <w:color w:val="7030A0"/>
        </w:rPr>
      </w:pPr>
      <w:r w:rsidRPr="00A40828">
        <w:rPr>
          <w:rFonts w:ascii="Garamond" w:hAnsi="Garamond"/>
          <w:color w:val="7030A0"/>
        </w:rPr>
        <w:t>CEAP Soaring High Award</w:t>
      </w:r>
    </w:p>
    <w:p w:rsidR="00A40828" w:rsidRPr="00A40828" w:rsidRDefault="00A40828" w:rsidP="00A40828">
      <w:pPr>
        <w:spacing w:after="0" w:line="240" w:lineRule="auto"/>
        <w:rPr>
          <w:rFonts w:ascii="Garamond" w:hAnsi="Garamond"/>
          <w:color w:val="7030A0"/>
        </w:rPr>
      </w:pPr>
      <w:r w:rsidRPr="00A40828">
        <w:rPr>
          <w:rFonts w:ascii="Garamond" w:hAnsi="Garamond"/>
          <w:color w:val="7030A0"/>
        </w:rPr>
        <w:t>CEAP Dean’s Research Award</w:t>
      </w:r>
    </w:p>
    <w:p w:rsidR="00A40828" w:rsidRPr="00A40828" w:rsidRDefault="00A40828" w:rsidP="00A40828">
      <w:pPr>
        <w:spacing w:after="0" w:line="240" w:lineRule="auto"/>
        <w:rPr>
          <w:rFonts w:ascii="Garamond" w:hAnsi="Garamond"/>
          <w:color w:val="7030A0"/>
        </w:rPr>
      </w:pPr>
      <w:r w:rsidRPr="00A40828">
        <w:rPr>
          <w:rFonts w:ascii="Garamond" w:hAnsi="Garamond"/>
          <w:color w:val="7030A0"/>
        </w:rPr>
        <w:t>CEAP Dean’s Service Award</w:t>
      </w:r>
    </w:p>
    <w:p w:rsidR="00A40828" w:rsidRPr="00A40828" w:rsidRDefault="00A40828" w:rsidP="00A40828">
      <w:pPr>
        <w:spacing w:after="0" w:line="240" w:lineRule="auto"/>
        <w:rPr>
          <w:rFonts w:ascii="Garamond" w:hAnsi="Garamond"/>
          <w:color w:val="7030A0"/>
        </w:rPr>
      </w:pPr>
      <w:r w:rsidRPr="00A40828">
        <w:rPr>
          <w:rFonts w:ascii="Garamond" w:hAnsi="Garamond"/>
          <w:color w:val="7030A0"/>
        </w:rPr>
        <w:t>CEAP Taft-</w:t>
      </w:r>
      <w:proofErr w:type="spellStart"/>
      <w:r w:rsidRPr="00A40828">
        <w:rPr>
          <w:rFonts w:ascii="Garamond" w:hAnsi="Garamond"/>
          <w:color w:val="7030A0"/>
        </w:rPr>
        <w:t>Botner</w:t>
      </w:r>
      <w:proofErr w:type="spellEnd"/>
      <w:r w:rsidRPr="00A40828">
        <w:rPr>
          <w:rFonts w:ascii="Garamond" w:hAnsi="Garamond"/>
          <w:color w:val="7030A0"/>
        </w:rPr>
        <w:t xml:space="preserve"> Distinguished Teaching Award </w:t>
      </w:r>
    </w:p>
    <w:p w:rsidR="00A40828" w:rsidRPr="00B50819" w:rsidRDefault="00A40828" w:rsidP="00A40828">
      <w:pPr>
        <w:pStyle w:val="NormalWeb"/>
        <w:spacing w:before="0" w:beforeAutospacing="0" w:after="0"/>
        <w:rPr>
          <w:rFonts w:ascii="Garamond" w:hAnsi="Garamond"/>
          <w:sz w:val="22"/>
          <w:szCs w:val="22"/>
          <w:u w:val="single"/>
        </w:rPr>
      </w:pPr>
      <w:r w:rsidRPr="00B50819">
        <w:rPr>
          <w:rFonts w:ascii="Garamond" w:hAnsi="Garamond"/>
          <w:sz w:val="22"/>
          <w:szCs w:val="22"/>
        </w:rPr>
        <w:br/>
      </w:r>
      <w:r w:rsidRPr="00B50819">
        <w:rPr>
          <w:rFonts w:ascii="Garamond" w:hAnsi="Garamond"/>
          <w:sz w:val="22"/>
          <w:szCs w:val="22"/>
          <w:u w:val="single"/>
        </w:rPr>
        <w:t>Coll</w:t>
      </w:r>
      <w:r>
        <w:rPr>
          <w:rFonts w:ascii="Garamond" w:hAnsi="Garamond"/>
          <w:sz w:val="22"/>
          <w:szCs w:val="22"/>
          <w:u w:val="single"/>
        </w:rPr>
        <w:t>ege of Fine and Performing Arts</w:t>
      </w:r>
    </w:p>
    <w:p w:rsidR="00A40828" w:rsidRPr="00B50819" w:rsidRDefault="00A40828" w:rsidP="00A40828">
      <w:pPr>
        <w:spacing w:after="0" w:line="240" w:lineRule="auto"/>
        <w:rPr>
          <w:rFonts w:ascii="Garamond" w:hAnsi="Garamond"/>
        </w:rPr>
      </w:pPr>
      <w:r w:rsidRPr="00B50819">
        <w:rPr>
          <w:rFonts w:ascii="Garamond" w:hAnsi="Garamond"/>
        </w:rPr>
        <w:t>Fine and Performing Arts Teaching Award</w:t>
      </w:r>
    </w:p>
    <w:p w:rsidR="00A40828" w:rsidRPr="00B50819" w:rsidRDefault="00A40828" w:rsidP="00A40828">
      <w:pPr>
        <w:pStyle w:val="NormalWeb"/>
        <w:spacing w:before="0" w:beforeAutospacing="0" w:after="0"/>
        <w:rPr>
          <w:rFonts w:ascii="Garamond" w:hAnsi="Garamond"/>
        </w:rPr>
      </w:pPr>
      <w:r w:rsidRPr="00B50819">
        <w:rPr>
          <w:rFonts w:ascii="Garamond" w:hAnsi="Garamond"/>
          <w:sz w:val="22"/>
          <w:szCs w:val="22"/>
        </w:rPr>
        <w:t> </w:t>
      </w:r>
      <w:r w:rsidRPr="00B50819">
        <w:rPr>
          <w:rFonts w:ascii="Garamond" w:hAnsi="Garamond"/>
          <w:sz w:val="22"/>
          <w:szCs w:val="22"/>
        </w:rPr>
        <w:br/>
      </w:r>
      <w:r w:rsidRPr="00B50819">
        <w:rPr>
          <w:rFonts w:ascii="Garamond" w:hAnsi="Garamond"/>
          <w:sz w:val="22"/>
          <w:szCs w:val="22"/>
          <w:u w:val="single"/>
        </w:rPr>
        <w:t>College of Health and Human Sciences</w:t>
      </w:r>
      <w:r w:rsidRPr="00B50819">
        <w:rPr>
          <w:rFonts w:ascii="Garamond" w:hAnsi="Garamond"/>
          <w:sz w:val="22"/>
          <w:szCs w:val="22"/>
          <w:u w:val="single"/>
        </w:rPr>
        <w:br/>
      </w:r>
      <w:r w:rsidRPr="00A40828">
        <w:rPr>
          <w:rFonts w:ascii="Garamond" w:hAnsi="Garamond"/>
          <w:sz w:val="22"/>
          <w:szCs w:val="22"/>
        </w:rPr>
        <w:t>Innovation Teaching Award</w:t>
      </w:r>
    </w:p>
    <w:p w:rsidR="00A40828" w:rsidRPr="00B50819" w:rsidRDefault="00A40828" w:rsidP="00A40828">
      <w:pPr>
        <w:spacing w:after="0" w:line="240" w:lineRule="auto"/>
        <w:rPr>
          <w:rFonts w:ascii="Garamond" w:hAnsi="Garamond"/>
        </w:rPr>
      </w:pPr>
      <w:r w:rsidRPr="00B50819">
        <w:rPr>
          <w:rFonts w:ascii="Garamond" w:hAnsi="Garamond"/>
        </w:rPr>
        <w:t>Faculty Student Engagement Award</w:t>
      </w:r>
    </w:p>
    <w:p w:rsidR="00A40828" w:rsidRPr="00B50819" w:rsidRDefault="00A40828" w:rsidP="00A40828">
      <w:pPr>
        <w:spacing w:after="0" w:line="240" w:lineRule="auto"/>
        <w:rPr>
          <w:rFonts w:ascii="Garamond" w:hAnsi="Garamond"/>
        </w:rPr>
      </w:pPr>
      <w:r w:rsidRPr="00B50819">
        <w:rPr>
          <w:rFonts w:ascii="Garamond" w:hAnsi="Garamond"/>
        </w:rPr>
        <w:t>Faculty/Staff Leadership Award</w:t>
      </w:r>
    </w:p>
    <w:p w:rsidR="00A40828" w:rsidRPr="00B50819" w:rsidRDefault="00A40828" w:rsidP="00A40828">
      <w:pPr>
        <w:spacing w:after="0" w:line="240" w:lineRule="auto"/>
        <w:rPr>
          <w:rFonts w:ascii="Garamond" w:hAnsi="Garamond"/>
        </w:rPr>
      </w:pPr>
      <w:r w:rsidRPr="00B50819">
        <w:rPr>
          <w:rFonts w:ascii="Garamond" w:hAnsi="Garamond"/>
        </w:rPr>
        <w:t>Faculty Service Award</w:t>
      </w:r>
    </w:p>
    <w:p w:rsidR="00A40828" w:rsidRPr="00B50819" w:rsidRDefault="00A40828" w:rsidP="00A40828">
      <w:pPr>
        <w:spacing w:after="0" w:line="240" w:lineRule="auto"/>
        <w:rPr>
          <w:rFonts w:ascii="Garamond" w:hAnsi="Garamond"/>
        </w:rPr>
      </w:pPr>
      <w:r w:rsidRPr="00B50819">
        <w:rPr>
          <w:rFonts w:ascii="Garamond" w:hAnsi="Garamond"/>
        </w:rPr>
        <w:t>Faculty Scholar Award</w:t>
      </w:r>
    </w:p>
    <w:p w:rsidR="00A40828" w:rsidRDefault="00A40828" w:rsidP="00A40828">
      <w:pPr>
        <w:pStyle w:val="NormalWeb"/>
        <w:spacing w:before="0" w:beforeAutospacing="0" w:after="0"/>
        <w:rPr>
          <w:rFonts w:ascii="Garamond" w:hAnsi="Garamond"/>
          <w:sz w:val="22"/>
          <w:szCs w:val="22"/>
          <w:u w:val="single"/>
        </w:rPr>
      </w:pPr>
    </w:p>
    <w:p w:rsidR="00A40828" w:rsidRPr="00B50819" w:rsidRDefault="00A40828" w:rsidP="00A40828">
      <w:pPr>
        <w:pStyle w:val="NormalWeb"/>
        <w:spacing w:before="0" w:beforeAutospacing="0" w:after="0"/>
        <w:rPr>
          <w:rFonts w:ascii="Garamond" w:hAnsi="Garamond"/>
          <w:sz w:val="22"/>
          <w:szCs w:val="22"/>
          <w:u w:val="single"/>
        </w:rPr>
      </w:pPr>
      <w:r w:rsidRPr="00B50819">
        <w:rPr>
          <w:rFonts w:ascii="Garamond" w:hAnsi="Garamond"/>
          <w:sz w:val="22"/>
          <w:szCs w:val="22"/>
          <w:u w:val="single"/>
        </w:rPr>
        <w:t>Kimmel School </w:t>
      </w:r>
    </w:p>
    <w:p w:rsidR="00A40828" w:rsidRPr="00B50819" w:rsidRDefault="00A40828" w:rsidP="00A40828">
      <w:pPr>
        <w:spacing w:after="0" w:line="240" w:lineRule="auto"/>
        <w:rPr>
          <w:rFonts w:ascii="Garamond" w:hAnsi="Garamond"/>
        </w:rPr>
      </w:pPr>
      <w:r w:rsidRPr="00B50819">
        <w:rPr>
          <w:rFonts w:ascii="Garamond" w:hAnsi="Garamond"/>
        </w:rPr>
        <w:t>Distinguished Research and Scholarly Engagement Award</w:t>
      </w:r>
    </w:p>
    <w:p w:rsidR="00A40828" w:rsidRPr="00B50819" w:rsidRDefault="00A40828" w:rsidP="00A40828">
      <w:pPr>
        <w:spacing w:after="0" w:line="240" w:lineRule="auto"/>
        <w:rPr>
          <w:rFonts w:ascii="Garamond" w:hAnsi="Garamond"/>
        </w:rPr>
      </w:pPr>
      <w:r w:rsidRPr="00B50819">
        <w:rPr>
          <w:rFonts w:ascii="Garamond" w:hAnsi="Garamond"/>
        </w:rPr>
        <w:t>Distinguished Teaching Award</w:t>
      </w:r>
    </w:p>
    <w:p w:rsidR="00A40828" w:rsidRPr="00B50819" w:rsidRDefault="00A40828" w:rsidP="00A40828">
      <w:pPr>
        <w:spacing w:after="0" w:line="240" w:lineRule="auto"/>
        <w:rPr>
          <w:rFonts w:ascii="Garamond" w:hAnsi="Garamond"/>
        </w:rPr>
      </w:pPr>
      <w:r>
        <w:rPr>
          <w:rFonts w:ascii="Garamond" w:hAnsi="Garamond"/>
        </w:rPr>
        <w:t>D</w:t>
      </w:r>
      <w:r w:rsidRPr="00B50819">
        <w:rPr>
          <w:rFonts w:ascii="Garamond" w:hAnsi="Garamond"/>
        </w:rPr>
        <w:t>istinguished Student Engagement Award</w:t>
      </w:r>
    </w:p>
    <w:p w:rsidR="00A40828" w:rsidRPr="00B50819" w:rsidRDefault="00A40828" w:rsidP="00A40828">
      <w:pPr>
        <w:spacing w:after="0" w:line="240" w:lineRule="auto"/>
        <w:rPr>
          <w:rFonts w:ascii="Garamond" w:hAnsi="Garamond"/>
        </w:rPr>
      </w:pPr>
      <w:r w:rsidRPr="00B50819">
        <w:rPr>
          <w:rFonts w:ascii="Garamond" w:hAnsi="Garamond"/>
        </w:rPr>
        <w:t>Award for Excellence in Mentoring and Advising</w:t>
      </w:r>
    </w:p>
    <w:p w:rsidR="00A40828" w:rsidRPr="00B50819" w:rsidRDefault="00A40828" w:rsidP="00A40828">
      <w:pPr>
        <w:spacing w:after="0" w:line="240" w:lineRule="auto"/>
        <w:rPr>
          <w:rFonts w:ascii="Garamond" w:hAnsi="Garamond"/>
        </w:rPr>
      </w:pPr>
      <w:r w:rsidRPr="00B50819">
        <w:rPr>
          <w:rFonts w:ascii="Garamond" w:hAnsi="Garamond"/>
        </w:rPr>
        <w:t>Outstanding Early-Career Faculty Award</w:t>
      </w:r>
    </w:p>
    <w:p w:rsidR="006F2587" w:rsidRDefault="006F2587" w:rsidP="00A40828">
      <w:pPr>
        <w:spacing w:after="0" w:line="240" w:lineRule="auto"/>
        <w:rPr>
          <w:rFonts w:cs="Times New Roman"/>
        </w:rPr>
      </w:pPr>
    </w:p>
    <w:p w:rsidR="00A40828" w:rsidRPr="00A40828" w:rsidRDefault="00A40828" w:rsidP="00A40828">
      <w:pPr>
        <w:spacing w:after="0" w:line="240" w:lineRule="auto"/>
        <w:rPr>
          <w:rFonts w:ascii="Garamond" w:hAnsi="Garamond" w:cs="Times New Roman"/>
          <w:color w:val="00B050"/>
          <w:u w:val="single"/>
        </w:rPr>
      </w:pPr>
      <w:r w:rsidRPr="00A40828">
        <w:rPr>
          <w:rFonts w:ascii="Garamond" w:hAnsi="Garamond" w:cs="Times New Roman"/>
          <w:color w:val="00B050"/>
          <w:u w:val="single"/>
        </w:rPr>
        <w:t>Staff Awards (added 2013-14)</w:t>
      </w:r>
    </w:p>
    <w:p w:rsidR="006F2587" w:rsidRPr="00A40828" w:rsidRDefault="00A40828" w:rsidP="00A40828">
      <w:pPr>
        <w:spacing w:after="0" w:line="240" w:lineRule="auto"/>
        <w:rPr>
          <w:rFonts w:ascii="Garamond" w:hAnsi="Garamond"/>
          <w:color w:val="00B050"/>
        </w:rPr>
      </w:pPr>
      <w:r w:rsidRPr="00A40828">
        <w:rPr>
          <w:rFonts w:ascii="Garamond" w:hAnsi="Garamond"/>
          <w:color w:val="00B050"/>
        </w:rPr>
        <w:t>Paul A. Reid Service (Faculty and Staff)</w:t>
      </w:r>
      <w:r w:rsidRPr="00A40828">
        <w:rPr>
          <w:rFonts w:ascii="Garamond" w:hAnsi="Garamond"/>
          <w:color w:val="00B050"/>
        </w:rPr>
        <w:br/>
        <w:t>Program of Excellence</w:t>
      </w:r>
      <w:r w:rsidRPr="00A40828">
        <w:rPr>
          <w:rFonts w:ascii="Garamond" w:hAnsi="Garamond"/>
          <w:color w:val="00B050"/>
        </w:rPr>
        <w:br/>
        <w:t xml:space="preserve">Judy McDowell </w:t>
      </w:r>
      <w:r w:rsidRPr="00A40828">
        <w:rPr>
          <w:rFonts w:ascii="Garamond" w:hAnsi="Garamond"/>
          <w:color w:val="00B050"/>
        </w:rPr>
        <w:br/>
        <w:t>Bright Idea Award</w:t>
      </w:r>
    </w:p>
    <w:p w:rsidR="00A40828" w:rsidRPr="00A40828" w:rsidRDefault="00A40828" w:rsidP="00A40828">
      <w:pPr>
        <w:spacing w:after="0" w:line="240" w:lineRule="auto"/>
        <w:rPr>
          <w:rFonts w:ascii="Garamond" w:hAnsi="Garamond"/>
          <w:color w:val="00B050"/>
        </w:rPr>
      </w:pPr>
      <w:r w:rsidRPr="00A40828">
        <w:rPr>
          <w:rFonts w:ascii="Garamond" w:hAnsi="Garamond"/>
          <w:color w:val="00B050"/>
        </w:rPr>
        <w:t xml:space="preserve">Star Staff Award </w:t>
      </w:r>
    </w:p>
    <w:sectPr w:rsidR="00A40828" w:rsidRPr="00A40828" w:rsidSect="008D10E6">
      <w:head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CC1" w:rsidRDefault="00206CC1" w:rsidP="008D10E6">
      <w:pPr>
        <w:spacing w:after="0" w:line="240" w:lineRule="auto"/>
      </w:pPr>
      <w:r>
        <w:separator/>
      </w:r>
    </w:p>
  </w:endnote>
  <w:endnote w:type="continuationSeparator" w:id="0">
    <w:p w:rsidR="00206CC1" w:rsidRDefault="00206CC1" w:rsidP="008D1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CC1" w:rsidRDefault="00206CC1" w:rsidP="008D10E6">
      <w:pPr>
        <w:spacing w:after="0" w:line="240" w:lineRule="auto"/>
      </w:pPr>
      <w:r>
        <w:separator/>
      </w:r>
    </w:p>
  </w:footnote>
  <w:footnote w:type="continuationSeparator" w:id="0">
    <w:p w:rsidR="00206CC1" w:rsidRDefault="00206CC1" w:rsidP="008D10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014568"/>
      <w:docPartObj>
        <w:docPartGallery w:val="Page Numbers (Top of Page)"/>
        <w:docPartUnique/>
      </w:docPartObj>
    </w:sdtPr>
    <w:sdtEndPr>
      <w:rPr>
        <w:noProof/>
      </w:rPr>
    </w:sdtEndPr>
    <w:sdtContent>
      <w:p w:rsidR="008D10E6" w:rsidRDefault="008D10E6">
        <w:pPr>
          <w:pStyle w:val="Header"/>
          <w:jc w:val="right"/>
        </w:pPr>
        <w:r>
          <w:fldChar w:fldCharType="begin"/>
        </w:r>
        <w:r>
          <w:instrText xml:space="preserve"> PAGE   \* MERGEFORMAT </w:instrText>
        </w:r>
        <w:r>
          <w:fldChar w:fldCharType="separate"/>
        </w:r>
        <w:r w:rsidR="009B18B1">
          <w:rPr>
            <w:noProof/>
          </w:rPr>
          <w:t>8</w:t>
        </w:r>
        <w:r>
          <w:rPr>
            <w:noProof/>
          </w:rPr>
          <w:fldChar w:fldCharType="end"/>
        </w:r>
      </w:p>
    </w:sdtContent>
  </w:sdt>
  <w:p w:rsidR="008D10E6" w:rsidRDefault="008D10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B3E"/>
    <w:multiLevelType w:val="multilevel"/>
    <w:tmpl w:val="B0E03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B524F"/>
    <w:multiLevelType w:val="multilevel"/>
    <w:tmpl w:val="C9B0E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2B5F6E"/>
    <w:multiLevelType w:val="hybridMultilevel"/>
    <w:tmpl w:val="CC20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3F6576"/>
    <w:multiLevelType w:val="multilevel"/>
    <w:tmpl w:val="5E9E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04133D"/>
    <w:multiLevelType w:val="multilevel"/>
    <w:tmpl w:val="7472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2D65E7"/>
    <w:multiLevelType w:val="hybridMultilevel"/>
    <w:tmpl w:val="485E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DF41FC"/>
    <w:multiLevelType w:val="multilevel"/>
    <w:tmpl w:val="E610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115B32"/>
    <w:multiLevelType w:val="hybridMultilevel"/>
    <w:tmpl w:val="AE709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80818E2"/>
    <w:multiLevelType w:val="hybridMultilevel"/>
    <w:tmpl w:val="74BC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4"/>
  </w:num>
  <w:num w:numId="6">
    <w:abstractNumId w:val="5"/>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587"/>
    <w:rsid w:val="00022C89"/>
    <w:rsid w:val="0008393E"/>
    <w:rsid w:val="000C4727"/>
    <w:rsid w:val="001D084C"/>
    <w:rsid w:val="001E39B9"/>
    <w:rsid w:val="00206CC1"/>
    <w:rsid w:val="00232F90"/>
    <w:rsid w:val="00323EA4"/>
    <w:rsid w:val="00354D31"/>
    <w:rsid w:val="0038325C"/>
    <w:rsid w:val="00416BAC"/>
    <w:rsid w:val="005B147A"/>
    <w:rsid w:val="006F2587"/>
    <w:rsid w:val="007A3CBD"/>
    <w:rsid w:val="007B152F"/>
    <w:rsid w:val="00803F66"/>
    <w:rsid w:val="00807F6A"/>
    <w:rsid w:val="008221DA"/>
    <w:rsid w:val="008D10E6"/>
    <w:rsid w:val="00953E0F"/>
    <w:rsid w:val="00981637"/>
    <w:rsid w:val="009B18B1"/>
    <w:rsid w:val="00A40828"/>
    <w:rsid w:val="00B64326"/>
    <w:rsid w:val="00B97258"/>
    <w:rsid w:val="00CC5BBB"/>
    <w:rsid w:val="00CD5BE0"/>
    <w:rsid w:val="00D37585"/>
    <w:rsid w:val="00D56EF2"/>
    <w:rsid w:val="00DC614E"/>
    <w:rsid w:val="00F31983"/>
    <w:rsid w:val="00FA33ED"/>
    <w:rsid w:val="00FE1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0828"/>
    <w:pPr>
      <w:spacing w:before="100" w:beforeAutospacing="1" w:after="24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40828"/>
    <w:pPr>
      <w:ind w:left="720"/>
      <w:contextualSpacing/>
    </w:pPr>
  </w:style>
  <w:style w:type="table" w:styleId="TableGrid">
    <w:name w:val="Table Grid"/>
    <w:basedOn w:val="TableNormal"/>
    <w:uiPriority w:val="59"/>
    <w:rsid w:val="00354D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CD5BE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CD5BE0"/>
    <w:rPr>
      <w:rFonts w:ascii="Consolas" w:hAnsi="Consolas" w:cs="Consolas"/>
      <w:sz w:val="21"/>
      <w:szCs w:val="21"/>
    </w:rPr>
  </w:style>
  <w:style w:type="paragraph" w:styleId="Header">
    <w:name w:val="header"/>
    <w:basedOn w:val="Normal"/>
    <w:link w:val="HeaderChar"/>
    <w:uiPriority w:val="99"/>
    <w:unhideWhenUsed/>
    <w:rsid w:val="008D1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0E6"/>
  </w:style>
  <w:style w:type="paragraph" w:styleId="Footer">
    <w:name w:val="footer"/>
    <w:basedOn w:val="Normal"/>
    <w:link w:val="FooterChar"/>
    <w:uiPriority w:val="99"/>
    <w:unhideWhenUsed/>
    <w:rsid w:val="008D1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0E6"/>
  </w:style>
  <w:style w:type="paragraph" w:styleId="BalloonText">
    <w:name w:val="Balloon Text"/>
    <w:basedOn w:val="Normal"/>
    <w:link w:val="BalloonTextChar"/>
    <w:uiPriority w:val="99"/>
    <w:semiHidden/>
    <w:unhideWhenUsed/>
    <w:rsid w:val="008D1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0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0828"/>
    <w:pPr>
      <w:spacing w:before="100" w:beforeAutospacing="1" w:after="24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40828"/>
    <w:pPr>
      <w:ind w:left="720"/>
      <w:contextualSpacing/>
    </w:pPr>
  </w:style>
  <w:style w:type="table" w:styleId="TableGrid">
    <w:name w:val="Table Grid"/>
    <w:basedOn w:val="TableNormal"/>
    <w:uiPriority w:val="59"/>
    <w:rsid w:val="00354D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CD5BE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CD5BE0"/>
    <w:rPr>
      <w:rFonts w:ascii="Consolas" w:hAnsi="Consolas" w:cs="Consolas"/>
      <w:sz w:val="21"/>
      <w:szCs w:val="21"/>
    </w:rPr>
  </w:style>
  <w:style w:type="paragraph" w:styleId="Header">
    <w:name w:val="header"/>
    <w:basedOn w:val="Normal"/>
    <w:link w:val="HeaderChar"/>
    <w:uiPriority w:val="99"/>
    <w:unhideWhenUsed/>
    <w:rsid w:val="008D1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0E6"/>
  </w:style>
  <w:style w:type="paragraph" w:styleId="Footer">
    <w:name w:val="footer"/>
    <w:basedOn w:val="Normal"/>
    <w:link w:val="FooterChar"/>
    <w:uiPriority w:val="99"/>
    <w:unhideWhenUsed/>
    <w:rsid w:val="008D1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0E6"/>
  </w:style>
  <w:style w:type="paragraph" w:styleId="BalloonText">
    <w:name w:val="Balloon Text"/>
    <w:basedOn w:val="Normal"/>
    <w:link w:val="BalloonTextChar"/>
    <w:uiPriority w:val="99"/>
    <w:semiHidden/>
    <w:unhideWhenUsed/>
    <w:rsid w:val="008D1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0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896378">
      <w:bodyDiv w:val="1"/>
      <w:marLeft w:val="0"/>
      <w:marRight w:val="0"/>
      <w:marTop w:val="0"/>
      <w:marBottom w:val="0"/>
      <w:divBdr>
        <w:top w:val="none" w:sz="0" w:space="0" w:color="auto"/>
        <w:left w:val="none" w:sz="0" w:space="0" w:color="auto"/>
        <w:bottom w:val="none" w:sz="0" w:space="0" w:color="auto"/>
        <w:right w:val="none" w:sz="0" w:space="0" w:color="auto"/>
      </w:divBdr>
      <w:divsChild>
        <w:div w:id="1540236877">
          <w:marLeft w:val="0"/>
          <w:marRight w:val="0"/>
          <w:marTop w:val="0"/>
          <w:marBottom w:val="0"/>
          <w:divBdr>
            <w:top w:val="none" w:sz="0" w:space="0" w:color="auto"/>
            <w:left w:val="none" w:sz="0" w:space="0" w:color="auto"/>
            <w:bottom w:val="none" w:sz="0" w:space="0" w:color="auto"/>
            <w:right w:val="none" w:sz="0" w:space="0" w:color="auto"/>
          </w:divBdr>
          <w:divsChild>
            <w:div w:id="2142187342">
              <w:marLeft w:val="-45"/>
              <w:marRight w:val="0"/>
              <w:marTop w:val="0"/>
              <w:marBottom w:val="0"/>
              <w:divBdr>
                <w:top w:val="none" w:sz="0" w:space="0" w:color="auto"/>
                <w:left w:val="none" w:sz="0" w:space="0" w:color="auto"/>
                <w:bottom w:val="none" w:sz="0" w:space="0" w:color="auto"/>
                <w:right w:val="none" w:sz="0" w:space="0" w:color="auto"/>
              </w:divBdr>
              <w:divsChild>
                <w:div w:id="244850917">
                  <w:marLeft w:val="75"/>
                  <w:marRight w:val="0"/>
                  <w:marTop w:val="0"/>
                  <w:marBottom w:val="0"/>
                  <w:divBdr>
                    <w:top w:val="none" w:sz="0" w:space="0" w:color="auto"/>
                    <w:left w:val="none" w:sz="0" w:space="0" w:color="auto"/>
                    <w:bottom w:val="none" w:sz="0" w:space="0" w:color="auto"/>
                    <w:right w:val="none" w:sz="0" w:space="0" w:color="auto"/>
                  </w:divBdr>
                  <w:divsChild>
                    <w:div w:id="560293071">
                      <w:marLeft w:val="0"/>
                      <w:marRight w:val="0"/>
                      <w:marTop w:val="0"/>
                      <w:marBottom w:val="0"/>
                      <w:divBdr>
                        <w:top w:val="none" w:sz="0" w:space="0" w:color="auto"/>
                        <w:left w:val="none" w:sz="0" w:space="0" w:color="auto"/>
                        <w:bottom w:val="none" w:sz="0" w:space="0" w:color="auto"/>
                        <w:right w:val="none" w:sz="0" w:space="0" w:color="auto"/>
                      </w:divBdr>
                      <w:divsChild>
                        <w:div w:id="789668234">
                          <w:marLeft w:val="150"/>
                          <w:marRight w:val="150"/>
                          <w:marTop w:val="150"/>
                          <w:marBottom w:val="225"/>
                          <w:divBdr>
                            <w:top w:val="none" w:sz="0" w:space="0" w:color="auto"/>
                            <w:left w:val="none" w:sz="0" w:space="0" w:color="auto"/>
                            <w:bottom w:val="none" w:sz="0" w:space="0" w:color="auto"/>
                            <w:right w:val="none" w:sz="0" w:space="0" w:color="auto"/>
                          </w:divBdr>
                          <w:divsChild>
                            <w:div w:id="8291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49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1891</Words>
  <Characters>10781</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2</cp:revision>
  <cp:lastPrinted>2013-10-25T17:29:00Z</cp:lastPrinted>
  <dcterms:created xsi:type="dcterms:W3CDTF">2013-11-19T13:39:00Z</dcterms:created>
  <dcterms:modified xsi:type="dcterms:W3CDTF">2013-11-19T13:39:00Z</dcterms:modified>
</cp:coreProperties>
</file>