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2595" w:type="dxa"/>
        <w:tblLayout w:type="fixed"/>
        <w:tblLook w:val="04A0" w:firstRow="1" w:lastRow="0" w:firstColumn="1" w:lastColumn="0" w:noHBand="0" w:noVBand="1"/>
      </w:tblPr>
      <w:tblGrid>
        <w:gridCol w:w="4518"/>
        <w:gridCol w:w="1376"/>
        <w:gridCol w:w="2111"/>
        <w:gridCol w:w="1710"/>
        <w:gridCol w:w="1620"/>
        <w:gridCol w:w="1260"/>
      </w:tblGrid>
      <w:tr w:rsidR="000247E2" w:rsidTr="000F5121">
        <w:trPr>
          <w:trHeight w:val="1115"/>
          <w:tblHeader/>
        </w:trPr>
        <w:tc>
          <w:tcPr>
            <w:tcW w:w="4518" w:type="dxa"/>
            <w:shd w:val="clear" w:color="auto" w:fill="BDD6EE"/>
          </w:tcPr>
          <w:p w:rsidR="000247E2" w:rsidRPr="00781533" w:rsidRDefault="000247E2" w:rsidP="000F5121">
            <w:pPr>
              <w:spacing w:before="240" w:after="0"/>
              <w:rPr>
                <w:rFonts w:cs="Calibri"/>
                <w:b/>
                <w:bCs/>
              </w:rPr>
            </w:pPr>
            <w:bookmarkStart w:id="0" w:name="_GoBack"/>
            <w:bookmarkEnd w:id="0"/>
            <w:r w:rsidRPr="00781533">
              <w:rPr>
                <w:rFonts w:cs="Calibri"/>
                <w:b/>
                <w:sz w:val="28"/>
              </w:rPr>
              <w:t>Test Content Categories</w:t>
            </w:r>
          </w:p>
          <w:p w:rsidR="000247E2" w:rsidRPr="00781533" w:rsidRDefault="000247E2" w:rsidP="000F5121">
            <w:pPr>
              <w:tabs>
                <w:tab w:val="left" w:pos="3000"/>
              </w:tabs>
              <w:rPr>
                <w:rFonts w:cs="Calibri"/>
              </w:rPr>
            </w:pPr>
            <w:r w:rsidRPr="00781533">
              <w:rPr>
                <w:rFonts w:cs="Calibri"/>
              </w:rPr>
              <w:tab/>
            </w:r>
          </w:p>
        </w:tc>
        <w:tc>
          <w:tcPr>
            <w:tcW w:w="1376" w:type="dxa"/>
            <w:shd w:val="clear" w:color="auto" w:fill="BDD6EE"/>
          </w:tcPr>
          <w:p w:rsidR="000247E2" w:rsidRPr="00781533" w:rsidRDefault="000247E2" w:rsidP="000F5121">
            <w:pPr>
              <w:spacing w:after="0"/>
              <w:jc w:val="center"/>
              <w:rPr>
                <w:rFonts w:cs="Calibri"/>
                <w:b/>
                <w:bCs/>
                <w:sz w:val="20"/>
                <w:szCs w:val="20"/>
              </w:rPr>
            </w:pPr>
            <w:r w:rsidRPr="00781533">
              <w:rPr>
                <w:rFonts w:cs="Calibri"/>
                <w:b/>
                <w:bCs/>
                <w:sz w:val="20"/>
                <w:szCs w:val="20"/>
              </w:rPr>
              <w:t xml:space="preserve">How well do I know the content? </w:t>
            </w:r>
            <w:r w:rsidRPr="00781533">
              <w:rPr>
                <w:rFonts w:cs="Calibri"/>
                <w:b/>
                <w:bCs/>
                <w:sz w:val="20"/>
                <w:szCs w:val="20"/>
              </w:rPr>
              <w:br/>
              <w:t>(scale 1–5)</w:t>
            </w:r>
          </w:p>
        </w:tc>
        <w:tc>
          <w:tcPr>
            <w:tcW w:w="2111"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What resources do I have/need for this content?</w:t>
            </w:r>
          </w:p>
        </w:tc>
        <w:tc>
          <w:tcPr>
            <w:tcW w:w="1710"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Where can I find the resources I need?</w:t>
            </w:r>
          </w:p>
        </w:tc>
        <w:tc>
          <w:tcPr>
            <w:tcW w:w="1620"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Dates I will study this content</w:t>
            </w:r>
          </w:p>
        </w:tc>
        <w:tc>
          <w:tcPr>
            <w:tcW w:w="1260"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Pr>
                <w:rFonts w:cs="Calibri"/>
                <w:b/>
                <w:bCs/>
                <w:sz w:val="20"/>
                <w:szCs w:val="20"/>
              </w:rPr>
              <w:br/>
            </w:r>
            <w:r w:rsidRPr="00781533">
              <w:rPr>
                <w:rFonts w:cs="Calibri"/>
                <w:b/>
                <w:bCs/>
                <w:sz w:val="20"/>
                <w:szCs w:val="20"/>
              </w:rPr>
              <w:t>Date completed</w:t>
            </w:r>
          </w:p>
        </w:tc>
      </w:tr>
      <w:tr w:rsidR="006D69C1" w:rsidTr="000F5121">
        <w:trPr>
          <w:trHeight w:val="467"/>
        </w:trPr>
        <w:tc>
          <w:tcPr>
            <w:tcW w:w="4518" w:type="dxa"/>
          </w:tcPr>
          <w:p w:rsidR="006D69C1" w:rsidRPr="00F8078C" w:rsidRDefault="006D69C1" w:rsidP="006D69C1">
            <w:pPr>
              <w:pStyle w:val="Default"/>
              <w:rPr>
                <w:color w:val="00498D"/>
                <w:sz w:val="22"/>
                <w:szCs w:val="22"/>
              </w:rPr>
            </w:pPr>
            <w:r>
              <w:rPr>
                <w:rStyle w:val="A10"/>
              </w:rPr>
              <w:t xml:space="preserve">I. </w:t>
            </w:r>
            <w:r>
              <w:rPr>
                <w:b/>
                <w:bCs/>
                <w:color w:val="00498D"/>
                <w:sz w:val="22"/>
                <w:szCs w:val="22"/>
              </w:rPr>
              <w:t>Counting and Operations with Whole Numbers (30%)</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6D69C1" w:rsidRDefault="006D69C1" w:rsidP="006D69C1">
            <w:pPr>
              <w:autoSpaceDE w:val="0"/>
              <w:autoSpaceDN w:val="0"/>
              <w:adjustRightInd w:val="0"/>
              <w:spacing w:after="0" w:line="240" w:lineRule="auto"/>
              <w:rPr>
                <w:rFonts w:asciiTheme="minorHAnsi" w:hAnsiTheme="minorHAnsi" w:cstheme="minorHAnsi"/>
                <w:color w:val="000000"/>
              </w:rPr>
            </w:pPr>
            <w:r w:rsidRPr="006D69C1">
              <w:rPr>
                <w:rFonts w:asciiTheme="minorHAnsi" w:hAnsiTheme="minorHAnsi" w:cstheme="minorHAnsi"/>
                <w:b/>
                <w:bCs/>
                <w:color w:val="000000"/>
              </w:rPr>
              <w:t>A. Counting</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6D69C1" w:rsidRDefault="006D69C1" w:rsidP="006D69C1">
            <w:pPr>
              <w:rPr>
                <w:rFonts w:asciiTheme="minorHAnsi" w:hAnsiTheme="minorHAnsi" w:cstheme="minorHAnsi"/>
              </w:rPr>
            </w:pPr>
            <w:r w:rsidRPr="006D69C1">
              <w:rPr>
                <w:rFonts w:asciiTheme="minorHAnsi" w:hAnsiTheme="minorHAnsi" w:cstheme="minorHAnsi"/>
              </w:rPr>
              <w:t>1. Counts and skip counts whole numbers between 0 and 1,000</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6D69C1" w:rsidRDefault="006D69C1" w:rsidP="006D69C1">
            <w:pPr>
              <w:rPr>
                <w:rFonts w:asciiTheme="minorHAnsi" w:hAnsiTheme="minorHAnsi" w:cstheme="minorHAnsi"/>
              </w:rPr>
            </w:pPr>
            <w:r w:rsidRPr="006D69C1">
              <w:rPr>
                <w:rFonts w:asciiTheme="minorHAnsi" w:hAnsiTheme="minorHAnsi" w:cstheme="minorHAnsi"/>
              </w:rPr>
              <w:t>2. Counts on, starting with any whole number</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6D69C1" w:rsidRDefault="006D69C1" w:rsidP="006D69C1">
            <w:pPr>
              <w:rPr>
                <w:rFonts w:asciiTheme="minorHAnsi" w:hAnsiTheme="minorHAnsi" w:cstheme="minorHAnsi"/>
              </w:rPr>
            </w:pPr>
            <w:r w:rsidRPr="006D69C1">
              <w:rPr>
                <w:rFonts w:asciiTheme="minorHAnsi" w:hAnsiTheme="minorHAnsi" w:cstheme="minorHAnsi"/>
              </w:rPr>
              <w:t>3. Connects counting to cardinality</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6D69C1" w:rsidRDefault="006D69C1" w:rsidP="006D69C1">
            <w:pPr>
              <w:rPr>
                <w:rFonts w:asciiTheme="minorHAnsi" w:hAnsiTheme="minorHAnsi" w:cstheme="minorHAnsi"/>
              </w:rPr>
            </w:pPr>
            <w:r w:rsidRPr="006D69C1">
              <w:rPr>
                <w:rFonts w:asciiTheme="minorHAnsi" w:hAnsiTheme="minorHAnsi" w:cstheme="minorHAnsi"/>
              </w:rPr>
              <w:t>4. Demonstrates understanding of one-to-one correspondence between numbers and objects being counted</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BB1EBB">
        <w:trPr>
          <w:trHeight w:val="593"/>
        </w:trPr>
        <w:tc>
          <w:tcPr>
            <w:tcW w:w="4518" w:type="dxa"/>
          </w:tcPr>
          <w:p w:rsidR="006D69C1" w:rsidRPr="006D69C1" w:rsidRDefault="006D69C1" w:rsidP="006D69C1">
            <w:pPr>
              <w:rPr>
                <w:rFonts w:asciiTheme="minorHAnsi" w:hAnsiTheme="minorHAnsi" w:cstheme="minorHAnsi"/>
              </w:rPr>
            </w:pPr>
            <w:r w:rsidRPr="006D69C1">
              <w:rPr>
                <w:rFonts w:asciiTheme="minorHAnsi" w:hAnsiTheme="minorHAnsi" w:cstheme="minorHAnsi"/>
              </w:rPr>
              <w:t>5. Subitizes (recognizes small quantities by sight)</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6D69C1" w:rsidRDefault="006D69C1" w:rsidP="006D69C1">
            <w:pPr>
              <w:rPr>
                <w:rFonts w:asciiTheme="minorHAnsi" w:hAnsiTheme="minorHAnsi" w:cstheme="minorHAnsi"/>
              </w:rPr>
            </w:pPr>
            <w:r w:rsidRPr="006D69C1">
              <w:rPr>
                <w:rFonts w:asciiTheme="minorHAnsi" w:hAnsiTheme="minorHAnsi" w:cstheme="minorHAnsi"/>
              </w:rPr>
              <w:t>6. Identifies relationships between counting and the concept of larger and smaller numbers (i.e., that sets with higher counts are larger than sets with smaller counts)</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6D69C1" w:rsidRDefault="006D69C1" w:rsidP="006D69C1">
            <w:pPr>
              <w:autoSpaceDE w:val="0"/>
              <w:autoSpaceDN w:val="0"/>
              <w:adjustRightInd w:val="0"/>
              <w:spacing w:after="0" w:line="240" w:lineRule="auto"/>
              <w:rPr>
                <w:rFonts w:asciiTheme="minorHAnsi" w:hAnsiTheme="minorHAnsi" w:cstheme="minorHAnsi"/>
                <w:color w:val="000000"/>
              </w:rPr>
            </w:pPr>
            <w:r w:rsidRPr="006D69C1">
              <w:rPr>
                <w:rFonts w:asciiTheme="minorHAnsi" w:hAnsiTheme="minorHAnsi" w:cstheme="minorHAnsi"/>
                <w:b/>
                <w:bCs/>
                <w:color w:val="000000"/>
              </w:rPr>
              <w:t>B. Operations with Whole Numbers</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6D69C1" w:rsidRDefault="006D69C1" w:rsidP="006D69C1">
            <w:pPr>
              <w:rPr>
                <w:rFonts w:asciiTheme="minorHAnsi" w:hAnsiTheme="minorHAnsi" w:cstheme="minorHAnsi"/>
              </w:rPr>
            </w:pPr>
            <w:r w:rsidRPr="006D69C1">
              <w:rPr>
                <w:rFonts w:asciiTheme="minorHAnsi" w:hAnsiTheme="minorHAnsi" w:cstheme="minorHAnsi"/>
              </w:rPr>
              <w:t xml:space="preserve">1. Demonstrates understanding of representations of addition, subtraction, multiplication, and division (including objects such as manipulatives, drawings, and diagrams) </w:t>
            </w:r>
            <w:r w:rsidRPr="006D69C1">
              <w:rPr>
                <w:rFonts w:asciiTheme="minorHAnsi" w:hAnsiTheme="minorHAnsi" w:cstheme="minorHAnsi"/>
              </w:rPr>
              <w:lastRenderedPageBreak/>
              <w:t>and relates these representations of operations to expressions and equations</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6D69C1" w:rsidRDefault="006D69C1" w:rsidP="006D69C1">
            <w:pPr>
              <w:rPr>
                <w:rFonts w:asciiTheme="minorHAnsi" w:hAnsiTheme="minorHAnsi" w:cstheme="minorHAnsi"/>
              </w:rPr>
            </w:pPr>
            <w:r w:rsidRPr="006D69C1">
              <w:rPr>
                <w:rFonts w:asciiTheme="minorHAnsi" w:hAnsiTheme="minorHAnsi" w:cstheme="minorHAnsi"/>
              </w:rPr>
              <w:t>2. Solves mathematical and real-world problems involving the four operations, including solving problems by using properties of operations</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186F0D" w:rsidRDefault="006D69C1" w:rsidP="006D69C1">
            <w:pPr>
              <w:pStyle w:val="Default"/>
              <w:rPr>
                <w:color w:val="00498D"/>
                <w:sz w:val="22"/>
                <w:szCs w:val="22"/>
              </w:rPr>
            </w:pPr>
            <w:r>
              <w:rPr>
                <w:rStyle w:val="A10"/>
              </w:rPr>
              <w:t xml:space="preserve">II. </w:t>
            </w:r>
            <w:r>
              <w:rPr>
                <w:b/>
                <w:bCs/>
                <w:color w:val="00498D"/>
                <w:sz w:val="22"/>
                <w:szCs w:val="22"/>
              </w:rPr>
              <w:t>Place Value and Decimals (25%)</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6D69C1" w:rsidRDefault="006D69C1" w:rsidP="006D69C1">
            <w:pPr>
              <w:autoSpaceDE w:val="0"/>
              <w:autoSpaceDN w:val="0"/>
              <w:adjustRightInd w:val="0"/>
              <w:spacing w:after="0" w:line="240" w:lineRule="auto"/>
              <w:rPr>
                <w:rFonts w:asciiTheme="minorHAnsi" w:hAnsiTheme="minorHAnsi" w:cstheme="minorHAnsi"/>
                <w:color w:val="000000"/>
              </w:rPr>
            </w:pPr>
            <w:r w:rsidRPr="006D69C1">
              <w:rPr>
                <w:rFonts w:asciiTheme="minorHAnsi" w:hAnsiTheme="minorHAnsi" w:cstheme="minorHAnsi"/>
                <w:b/>
                <w:bCs/>
                <w:color w:val="000000"/>
              </w:rPr>
              <w:t>A. Place Value and Decimals</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6D69C1" w:rsidRDefault="006D69C1" w:rsidP="006D69C1">
            <w:pPr>
              <w:rPr>
                <w:rFonts w:asciiTheme="minorHAnsi" w:hAnsiTheme="minorHAnsi" w:cstheme="minorHAnsi"/>
              </w:rPr>
            </w:pPr>
            <w:r w:rsidRPr="006D69C1">
              <w:rPr>
                <w:rFonts w:asciiTheme="minorHAnsi" w:hAnsiTheme="minorHAnsi" w:cstheme="minorHAnsi"/>
              </w:rPr>
              <w:t>1. Demonstrates a conceptual understanding of the value of the digits in a number</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6D69C1" w:rsidRDefault="006D69C1" w:rsidP="006D69C1">
            <w:pPr>
              <w:rPr>
                <w:rFonts w:asciiTheme="minorHAnsi" w:hAnsiTheme="minorHAnsi" w:cstheme="minorHAnsi"/>
              </w:rPr>
            </w:pPr>
            <w:r w:rsidRPr="006D69C1">
              <w:rPr>
                <w:rFonts w:asciiTheme="minorHAnsi" w:hAnsiTheme="minorHAnsi" w:cstheme="minorHAnsi"/>
              </w:rPr>
              <w:t>2. Compares multidigit and decimal numbers</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6D69C1" w:rsidRDefault="006D69C1" w:rsidP="006D69C1">
            <w:pPr>
              <w:rPr>
                <w:rFonts w:asciiTheme="minorHAnsi" w:hAnsiTheme="minorHAnsi" w:cstheme="minorHAnsi"/>
              </w:rPr>
            </w:pPr>
            <w:r w:rsidRPr="006D69C1">
              <w:rPr>
                <w:rFonts w:asciiTheme="minorHAnsi" w:hAnsiTheme="minorHAnsi" w:cstheme="minorHAnsi"/>
              </w:rPr>
              <w:t>3. Rounds multidigit and decimal numbers</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6D69C1" w:rsidRDefault="006D69C1" w:rsidP="006D69C1">
            <w:pPr>
              <w:rPr>
                <w:rFonts w:asciiTheme="minorHAnsi" w:hAnsiTheme="minorHAnsi" w:cstheme="minorHAnsi"/>
              </w:rPr>
            </w:pPr>
            <w:r w:rsidRPr="006D69C1">
              <w:rPr>
                <w:rFonts w:asciiTheme="minorHAnsi" w:hAnsiTheme="minorHAnsi" w:cstheme="minorHAnsi"/>
              </w:rPr>
              <w:t>4. Composes and decomposes multidigit numbers into groupings and understands why grouping and ungrouping are helpful in performing operations on multidigit and decimal numbers</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6D69C1" w:rsidRDefault="006D69C1" w:rsidP="006D69C1">
            <w:pPr>
              <w:rPr>
                <w:rFonts w:asciiTheme="minorHAnsi" w:hAnsiTheme="minorHAnsi" w:cstheme="minorHAnsi"/>
              </w:rPr>
            </w:pPr>
            <w:r w:rsidRPr="006D69C1">
              <w:rPr>
                <w:rFonts w:asciiTheme="minorHAnsi" w:hAnsiTheme="minorHAnsi" w:cstheme="minorHAnsi"/>
              </w:rPr>
              <w:t>5. Uses drawings and objects such as manipulatives to represent place value, relating these drawings and objects to numerical equations and written descriptions</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186F0D" w:rsidRDefault="006D69C1" w:rsidP="006D69C1">
            <w:pPr>
              <w:pStyle w:val="Default"/>
              <w:rPr>
                <w:color w:val="00498D"/>
                <w:sz w:val="22"/>
                <w:szCs w:val="22"/>
              </w:rPr>
            </w:pPr>
            <w:r>
              <w:rPr>
                <w:rStyle w:val="A10"/>
              </w:rPr>
              <w:lastRenderedPageBreak/>
              <w:t xml:space="preserve">III. </w:t>
            </w:r>
            <w:r>
              <w:rPr>
                <w:b/>
                <w:bCs/>
                <w:color w:val="00498D"/>
                <w:sz w:val="22"/>
                <w:szCs w:val="22"/>
              </w:rPr>
              <w:t>Fractions, Operations with Fractions, and Ratios (25%)</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6D69C1" w:rsidRDefault="006D69C1" w:rsidP="006D69C1">
            <w:pPr>
              <w:autoSpaceDE w:val="0"/>
              <w:autoSpaceDN w:val="0"/>
              <w:adjustRightInd w:val="0"/>
              <w:spacing w:after="0" w:line="240" w:lineRule="auto"/>
              <w:rPr>
                <w:rFonts w:asciiTheme="minorHAnsi" w:hAnsiTheme="minorHAnsi" w:cstheme="minorHAnsi"/>
                <w:color w:val="000000"/>
              </w:rPr>
            </w:pPr>
            <w:r w:rsidRPr="006D69C1">
              <w:rPr>
                <w:rFonts w:asciiTheme="minorHAnsi" w:hAnsiTheme="minorHAnsi" w:cstheme="minorHAnsi"/>
                <w:b/>
                <w:bCs/>
                <w:color w:val="000000"/>
              </w:rPr>
              <w:t>A. Fractions, Operations with Fractions, and Ratios</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6D69C1" w:rsidRDefault="006D69C1" w:rsidP="006D69C1">
            <w:pPr>
              <w:rPr>
                <w:rFonts w:asciiTheme="minorHAnsi" w:hAnsiTheme="minorHAnsi" w:cstheme="minorHAnsi"/>
              </w:rPr>
            </w:pPr>
            <w:r w:rsidRPr="006D69C1">
              <w:rPr>
                <w:rFonts w:asciiTheme="minorHAnsi" w:hAnsiTheme="minorHAnsi" w:cstheme="minorHAnsi"/>
              </w:rPr>
              <w:t>1. Demonstrates understanding of fractions as part-whole relationships, as multiples of unit fractions, as numbers, and as ratios, moving back and forth flexibly among these conceptualizations</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6D69C1" w:rsidRDefault="006D69C1" w:rsidP="006D69C1">
            <w:pPr>
              <w:rPr>
                <w:rFonts w:asciiTheme="minorHAnsi" w:hAnsiTheme="minorHAnsi" w:cstheme="minorHAnsi"/>
              </w:rPr>
            </w:pPr>
            <w:r w:rsidRPr="006D69C1">
              <w:rPr>
                <w:rFonts w:asciiTheme="minorHAnsi" w:hAnsiTheme="minorHAnsi" w:cstheme="minorHAnsi"/>
              </w:rPr>
              <w:t>2. Demonstrates understanding of characteristics of fractions that are less than one, equal to one, and greater than one</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6D69C1" w:rsidRDefault="006D69C1" w:rsidP="006D69C1">
            <w:pPr>
              <w:rPr>
                <w:rFonts w:asciiTheme="minorHAnsi" w:hAnsiTheme="minorHAnsi" w:cstheme="minorHAnsi"/>
              </w:rPr>
            </w:pPr>
            <w:r w:rsidRPr="006D69C1">
              <w:rPr>
                <w:rFonts w:asciiTheme="minorHAnsi" w:hAnsiTheme="minorHAnsi" w:cstheme="minorHAnsi"/>
              </w:rPr>
              <w:t>3. Demonstrates understanding of equipartitioning and that it is a building block for understanding fractions as part-whole relationships</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6D69C1" w:rsidRDefault="006D69C1" w:rsidP="006D69C1">
            <w:pPr>
              <w:rPr>
                <w:rFonts w:asciiTheme="minorHAnsi" w:hAnsiTheme="minorHAnsi" w:cstheme="minorHAnsi"/>
              </w:rPr>
            </w:pPr>
            <w:r w:rsidRPr="006D69C1">
              <w:rPr>
                <w:rFonts w:asciiTheme="minorHAnsi" w:hAnsiTheme="minorHAnsi" w:cstheme="minorHAnsi"/>
              </w:rPr>
              <w:t>4. Demonstrates understanding of fraction equivalence</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6D69C1" w:rsidRDefault="006D69C1" w:rsidP="006D69C1">
            <w:pPr>
              <w:rPr>
                <w:rFonts w:asciiTheme="minorHAnsi" w:hAnsiTheme="minorHAnsi" w:cstheme="minorHAnsi"/>
              </w:rPr>
            </w:pPr>
            <w:r w:rsidRPr="006D69C1">
              <w:rPr>
                <w:rFonts w:asciiTheme="minorHAnsi" w:hAnsiTheme="minorHAnsi" w:cstheme="minorHAnsi"/>
              </w:rPr>
              <w:t>5. Uses a variety of strategies for comparing fractions</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6D69C1" w:rsidRDefault="006D69C1" w:rsidP="006D69C1">
            <w:pPr>
              <w:rPr>
                <w:rFonts w:asciiTheme="minorHAnsi" w:hAnsiTheme="minorHAnsi" w:cstheme="minorHAnsi"/>
              </w:rPr>
            </w:pPr>
            <w:r w:rsidRPr="006D69C1">
              <w:rPr>
                <w:rFonts w:asciiTheme="minorHAnsi" w:hAnsiTheme="minorHAnsi" w:cstheme="minorHAnsi"/>
              </w:rPr>
              <w:t xml:space="preserve">6. Performs operations such as addition, subtraction, multiplication, and division with fractions as well as with fractions and whole </w:t>
            </w:r>
            <w:r w:rsidRPr="006D69C1">
              <w:rPr>
                <w:rFonts w:asciiTheme="minorHAnsi" w:hAnsiTheme="minorHAnsi" w:cstheme="minorHAnsi"/>
              </w:rPr>
              <w:lastRenderedPageBreak/>
              <w:t>numbers, understanding and using different strategies for these operations and building intuition about how the operations work (e.g., recognizing that multiplying a whole number by a fraction that is less than one makes the product smaller)</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4318ED" w:rsidRDefault="006D69C1" w:rsidP="006D69C1">
            <w:r>
              <w:t>7. Demonstrates understanding of applications of operations on fractions (e.g., scaling)</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186F0D" w:rsidRDefault="006D69C1" w:rsidP="006D69C1">
            <w:pPr>
              <w:pStyle w:val="Default"/>
              <w:rPr>
                <w:color w:val="00498D"/>
                <w:sz w:val="22"/>
                <w:szCs w:val="22"/>
              </w:rPr>
            </w:pPr>
            <w:r>
              <w:rPr>
                <w:rStyle w:val="A10"/>
              </w:rPr>
              <w:t xml:space="preserve">IV. </w:t>
            </w:r>
            <w:r>
              <w:rPr>
                <w:b/>
                <w:bCs/>
                <w:color w:val="00498D"/>
                <w:sz w:val="22"/>
                <w:szCs w:val="22"/>
              </w:rPr>
              <w:t>Early Equations and Expressions, Measurement, and Geometry (20%)</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6D69C1" w:rsidRDefault="006D69C1" w:rsidP="006D69C1">
            <w:pPr>
              <w:autoSpaceDE w:val="0"/>
              <w:autoSpaceDN w:val="0"/>
              <w:adjustRightInd w:val="0"/>
              <w:spacing w:after="0" w:line="240" w:lineRule="auto"/>
              <w:rPr>
                <w:rFonts w:asciiTheme="minorHAnsi" w:hAnsiTheme="minorHAnsi" w:cstheme="minorHAnsi"/>
                <w:color w:val="000000"/>
              </w:rPr>
            </w:pPr>
            <w:r w:rsidRPr="006D69C1">
              <w:rPr>
                <w:rFonts w:asciiTheme="minorHAnsi" w:hAnsiTheme="minorHAnsi" w:cstheme="minorHAnsi"/>
                <w:b/>
                <w:bCs/>
                <w:color w:val="000000"/>
              </w:rPr>
              <w:t>A. Early Equations and Expressions</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6D69C1" w:rsidRDefault="006D69C1" w:rsidP="00144F09">
            <w:pPr>
              <w:spacing w:after="0"/>
              <w:rPr>
                <w:rFonts w:asciiTheme="minorHAnsi" w:hAnsiTheme="minorHAnsi" w:cstheme="minorHAnsi"/>
              </w:rPr>
            </w:pPr>
            <w:r w:rsidRPr="006D69C1">
              <w:rPr>
                <w:rFonts w:asciiTheme="minorHAnsi" w:hAnsiTheme="minorHAnsi" w:cstheme="minorHAnsi"/>
              </w:rPr>
              <w:t>1. Demonstrates understanding of what it means for algebraic terms, expressions, and equations to be considered equivalent, how the equal sign is used to represent relational equivalence, and that equations maintain their equivalence status under certain algebraic manipulations</w:t>
            </w:r>
          </w:p>
        </w:tc>
        <w:tc>
          <w:tcPr>
            <w:tcW w:w="1376" w:type="dxa"/>
          </w:tcPr>
          <w:p w:rsidR="006D69C1" w:rsidRDefault="006D69C1" w:rsidP="00144F09">
            <w:pPr>
              <w:spacing w:after="0"/>
            </w:pPr>
          </w:p>
        </w:tc>
        <w:tc>
          <w:tcPr>
            <w:tcW w:w="2111" w:type="dxa"/>
          </w:tcPr>
          <w:p w:rsidR="006D69C1" w:rsidRDefault="006D69C1" w:rsidP="00144F09">
            <w:pPr>
              <w:spacing w:after="0"/>
            </w:pPr>
          </w:p>
        </w:tc>
        <w:tc>
          <w:tcPr>
            <w:tcW w:w="1710" w:type="dxa"/>
          </w:tcPr>
          <w:p w:rsidR="006D69C1" w:rsidRDefault="006D69C1" w:rsidP="00144F09">
            <w:pPr>
              <w:spacing w:after="0"/>
            </w:pPr>
          </w:p>
        </w:tc>
        <w:tc>
          <w:tcPr>
            <w:tcW w:w="1620" w:type="dxa"/>
          </w:tcPr>
          <w:p w:rsidR="006D69C1" w:rsidRDefault="006D69C1" w:rsidP="00144F09">
            <w:pPr>
              <w:spacing w:after="0"/>
            </w:pPr>
          </w:p>
        </w:tc>
        <w:tc>
          <w:tcPr>
            <w:tcW w:w="1260" w:type="dxa"/>
          </w:tcPr>
          <w:p w:rsidR="006D69C1" w:rsidRDefault="006D69C1" w:rsidP="00144F09">
            <w:pPr>
              <w:spacing w:after="0"/>
            </w:pPr>
          </w:p>
        </w:tc>
      </w:tr>
      <w:tr w:rsidR="006D69C1" w:rsidTr="000F5121">
        <w:trPr>
          <w:trHeight w:val="467"/>
        </w:trPr>
        <w:tc>
          <w:tcPr>
            <w:tcW w:w="4518" w:type="dxa"/>
          </w:tcPr>
          <w:p w:rsidR="006D69C1" w:rsidRPr="006D69C1" w:rsidRDefault="006D69C1" w:rsidP="00144F09">
            <w:pPr>
              <w:spacing w:after="0"/>
              <w:rPr>
                <w:rFonts w:asciiTheme="minorHAnsi" w:hAnsiTheme="minorHAnsi" w:cstheme="minorHAnsi"/>
              </w:rPr>
            </w:pPr>
            <w:r w:rsidRPr="006D69C1">
              <w:rPr>
                <w:rFonts w:asciiTheme="minorHAnsi" w:hAnsiTheme="minorHAnsi" w:cstheme="minorHAnsi"/>
              </w:rPr>
              <w:t>2. Determines whether equations are true, identifies the missing values that would make them true, solves equations using the four operations, and solves relational statements by substitution</w:t>
            </w:r>
          </w:p>
        </w:tc>
        <w:tc>
          <w:tcPr>
            <w:tcW w:w="1376" w:type="dxa"/>
          </w:tcPr>
          <w:p w:rsidR="006D69C1" w:rsidRDefault="006D69C1" w:rsidP="00144F09">
            <w:pPr>
              <w:spacing w:after="0"/>
            </w:pPr>
          </w:p>
        </w:tc>
        <w:tc>
          <w:tcPr>
            <w:tcW w:w="2111" w:type="dxa"/>
          </w:tcPr>
          <w:p w:rsidR="006D69C1" w:rsidRDefault="006D69C1" w:rsidP="00144F09">
            <w:pPr>
              <w:spacing w:after="0"/>
            </w:pPr>
          </w:p>
        </w:tc>
        <w:tc>
          <w:tcPr>
            <w:tcW w:w="1710" w:type="dxa"/>
          </w:tcPr>
          <w:p w:rsidR="006D69C1" w:rsidRDefault="006D69C1" w:rsidP="00144F09">
            <w:pPr>
              <w:spacing w:after="0"/>
            </w:pPr>
          </w:p>
        </w:tc>
        <w:tc>
          <w:tcPr>
            <w:tcW w:w="1620" w:type="dxa"/>
          </w:tcPr>
          <w:p w:rsidR="006D69C1" w:rsidRDefault="006D69C1" w:rsidP="00144F09">
            <w:pPr>
              <w:spacing w:after="0"/>
            </w:pPr>
          </w:p>
        </w:tc>
        <w:tc>
          <w:tcPr>
            <w:tcW w:w="1260" w:type="dxa"/>
          </w:tcPr>
          <w:p w:rsidR="006D69C1" w:rsidRDefault="006D69C1" w:rsidP="00144F09">
            <w:pPr>
              <w:spacing w:after="0"/>
            </w:pPr>
          </w:p>
        </w:tc>
      </w:tr>
      <w:tr w:rsidR="006D69C1" w:rsidTr="000F5121">
        <w:trPr>
          <w:trHeight w:val="467"/>
        </w:trPr>
        <w:tc>
          <w:tcPr>
            <w:tcW w:w="4518" w:type="dxa"/>
          </w:tcPr>
          <w:p w:rsidR="006D69C1" w:rsidRPr="006D69C1" w:rsidRDefault="006D69C1" w:rsidP="006D69C1">
            <w:pPr>
              <w:spacing w:after="0"/>
              <w:rPr>
                <w:rFonts w:asciiTheme="minorHAnsi" w:hAnsiTheme="minorHAnsi" w:cstheme="minorHAnsi"/>
              </w:rPr>
            </w:pPr>
            <w:r w:rsidRPr="006D69C1">
              <w:rPr>
                <w:rFonts w:asciiTheme="minorHAnsi" w:hAnsiTheme="minorHAnsi" w:cstheme="minorHAnsi"/>
              </w:rPr>
              <w:lastRenderedPageBreak/>
              <w:t>3. Follows the standard order of operations (including the use of parentheses and the distributive property of multiplication over addition)</w:t>
            </w:r>
          </w:p>
        </w:tc>
        <w:tc>
          <w:tcPr>
            <w:tcW w:w="1376" w:type="dxa"/>
          </w:tcPr>
          <w:p w:rsidR="006D69C1" w:rsidRDefault="006D69C1" w:rsidP="006D69C1">
            <w:pPr>
              <w:spacing w:after="0"/>
            </w:pPr>
          </w:p>
        </w:tc>
        <w:tc>
          <w:tcPr>
            <w:tcW w:w="2111" w:type="dxa"/>
          </w:tcPr>
          <w:p w:rsidR="006D69C1" w:rsidRDefault="006D69C1" w:rsidP="006D69C1">
            <w:pPr>
              <w:spacing w:after="0"/>
            </w:pPr>
          </w:p>
        </w:tc>
        <w:tc>
          <w:tcPr>
            <w:tcW w:w="1710" w:type="dxa"/>
          </w:tcPr>
          <w:p w:rsidR="006D69C1" w:rsidRDefault="006D69C1" w:rsidP="006D69C1">
            <w:pPr>
              <w:spacing w:after="0"/>
            </w:pPr>
          </w:p>
        </w:tc>
        <w:tc>
          <w:tcPr>
            <w:tcW w:w="1620" w:type="dxa"/>
          </w:tcPr>
          <w:p w:rsidR="006D69C1" w:rsidRDefault="006D69C1" w:rsidP="006D69C1">
            <w:pPr>
              <w:spacing w:after="0"/>
            </w:pPr>
          </w:p>
        </w:tc>
        <w:tc>
          <w:tcPr>
            <w:tcW w:w="1260" w:type="dxa"/>
          </w:tcPr>
          <w:p w:rsidR="006D69C1" w:rsidRDefault="006D69C1" w:rsidP="006D69C1">
            <w:pPr>
              <w:spacing w:after="0"/>
            </w:pPr>
          </w:p>
        </w:tc>
      </w:tr>
      <w:tr w:rsidR="006D69C1" w:rsidTr="006D69C1">
        <w:trPr>
          <w:trHeight w:val="2312"/>
        </w:trPr>
        <w:tc>
          <w:tcPr>
            <w:tcW w:w="4518" w:type="dxa"/>
          </w:tcPr>
          <w:p w:rsidR="006D69C1" w:rsidRPr="006D69C1" w:rsidRDefault="006D69C1" w:rsidP="006D69C1">
            <w:pPr>
              <w:spacing w:after="0"/>
              <w:rPr>
                <w:rFonts w:asciiTheme="minorHAnsi" w:hAnsiTheme="minorHAnsi" w:cstheme="minorHAnsi"/>
              </w:rPr>
            </w:pPr>
            <w:r w:rsidRPr="006D69C1">
              <w:rPr>
                <w:rFonts w:asciiTheme="minorHAnsi" w:hAnsiTheme="minorHAnsi" w:cstheme="minorHAnsi"/>
              </w:rPr>
              <w:t>4. Demonstrates awareness of different interpretations of the word “variable,” including the ideas of quantities that are unknown (which underlies understanding how to solve equations) and quantities that vary (which can be connected to patterns and will support later understanding of functional relationships)</w:t>
            </w:r>
          </w:p>
        </w:tc>
        <w:tc>
          <w:tcPr>
            <w:tcW w:w="1376" w:type="dxa"/>
          </w:tcPr>
          <w:p w:rsidR="006D69C1" w:rsidRDefault="006D69C1" w:rsidP="006D69C1">
            <w:pPr>
              <w:spacing w:after="0"/>
            </w:pPr>
          </w:p>
        </w:tc>
        <w:tc>
          <w:tcPr>
            <w:tcW w:w="2111" w:type="dxa"/>
          </w:tcPr>
          <w:p w:rsidR="006D69C1" w:rsidRDefault="006D69C1" w:rsidP="006D69C1">
            <w:pPr>
              <w:spacing w:after="0"/>
            </w:pPr>
          </w:p>
        </w:tc>
        <w:tc>
          <w:tcPr>
            <w:tcW w:w="1710" w:type="dxa"/>
          </w:tcPr>
          <w:p w:rsidR="006D69C1" w:rsidRDefault="006D69C1" w:rsidP="006D69C1">
            <w:pPr>
              <w:spacing w:after="0"/>
            </w:pPr>
          </w:p>
        </w:tc>
        <w:tc>
          <w:tcPr>
            <w:tcW w:w="1620" w:type="dxa"/>
          </w:tcPr>
          <w:p w:rsidR="006D69C1" w:rsidRDefault="006D69C1" w:rsidP="006D69C1">
            <w:pPr>
              <w:spacing w:after="0"/>
            </w:pPr>
          </w:p>
        </w:tc>
        <w:tc>
          <w:tcPr>
            <w:tcW w:w="1260" w:type="dxa"/>
          </w:tcPr>
          <w:p w:rsidR="006D69C1" w:rsidRDefault="006D69C1" w:rsidP="006D69C1">
            <w:pPr>
              <w:spacing w:after="0"/>
            </w:pPr>
          </w:p>
        </w:tc>
      </w:tr>
      <w:tr w:rsidR="006D69C1" w:rsidTr="000F5121">
        <w:trPr>
          <w:trHeight w:val="467"/>
        </w:trPr>
        <w:tc>
          <w:tcPr>
            <w:tcW w:w="4518" w:type="dxa"/>
          </w:tcPr>
          <w:p w:rsidR="006D69C1" w:rsidRPr="006D69C1" w:rsidRDefault="006D69C1" w:rsidP="006D69C1">
            <w:pPr>
              <w:spacing w:after="0"/>
              <w:rPr>
                <w:rFonts w:asciiTheme="minorHAnsi" w:hAnsiTheme="minorHAnsi" w:cstheme="minorHAnsi"/>
              </w:rPr>
            </w:pPr>
            <w:r w:rsidRPr="006D69C1">
              <w:rPr>
                <w:rFonts w:asciiTheme="minorHAnsi" w:hAnsiTheme="minorHAnsi" w:cstheme="minorHAnsi"/>
              </w:rPr>
              <w:t>5. Uses the less-than and greater-than relational symbols (&lt;, &gt;) to compare quantities</w:t>
            </w:r>
          </w:p>
        </w:tc>
        <w:tc>
          <w:tcPr>
            <w:tcW w:w="1376" w:type="dxa"/>
          </w:tcPr>
          <w:p w:rsidR="006D69C1" w:rsidRDefault="006D69C1" w:rsidP="006D69C1">
            <w:pPr>
              <w:spacing w:after="0"/>
            </w:pPr>
          </w:p>
        </w:tc>
        <w:tc>
          <w:tcPr>
            <w:tcW w:w="2111" w:type="dxa"/>
          </w:tcPr>
          <w:p w:rsidR="006D69C1" w:rsidRDefault="006D69C1" w:rsidP="006D69C1">
            <w:pPr>
              <w:spacing w:after="0"/>
            </w:pPr>
          </w:p>
        </w:tc>
        <w:tc>
          <w:tcPr>
            <w:tcW w:w="1710" w:type="dxa"/>
          </w:tcPr>
          <w:p w:rsidR="006D69C1" w:rsidRDefault="006D69C1" w:rsidP="006D69C1">
            <w:pPr>
              <w:spacing w:after="0"/>
            </w:pPr>
          </w:p>
        </w:tc>
        <w:tc>
          <w:tcPr>
            <w:tcW w:w="1620" w:type="dxa"/>
          </w:tcPr>
          <w:p w:rsidR="006D69C1" w:rsidRDefault="006D69C1" w:rsidP="006D69C1">
            <w:pPr>
              <w:spacing w:after="0"/>
            </w:pPr>
          </w:p>
        </w:tc>
        <w:tc>
          <w:tcPr>
            <w:tcW w:w="1260" w:type="dxa"/>
          </w:tcPr>
          <w:p w:rsidR="006D69C1" w:rsidRDefault="006D69C1" w:rsidP="006D69C1">
            <w:pPr>
              <w:spacing w:after="0"/>
            </w:pPr>
          </w:p>
        </w:tc>
      </w:tr>
      <w:tr w:rsidR="006D69C1" w:rsidTr="000F5121">
        <w:trPr>
          <w:trHeight w:val="467"/>
        </w:trPr>
        <w:tc>
          <w:tcPr>
            <w:tcW w:w="4518" w:type="dxa"/>
          </w:tcPr>
          <w:p w:rsidR="006D69C1" w:rsidRPr="006D69C1" w:rsidRDefault="006D69C1" w:rsidP="006D69C1">
            <w:pPr>
              <w:autoSpaceDE w:val="0"/>
              <w:autoSpaceDN w:val="0"/>
              <w:adjustRightInd w:val="0"/>
              <w:spacing w:after="0" w:line="240" w:lineRule="auto"/>
              <w:rPr>
                <w:rFonts w:asciiTheme="minorHAnsi" w:hAnsiTheme="minorHAnsi" w:cstheme="minorHAnsi"/>
                <w:color w:val="000000"/>
              </w:rPr>
            </w:pPr>
            <w:r w:rsidRPr="006D69C1">
              <w:rPr>
                <w:rFonts w:asciiTheme="minorHAnsi" w:hAnsiTheme="minorHAnsi" w:cstheme="minorHAnsi"/>
                <w:b/>
                <w:bCs/>
                <w:color w:val="000000"/>
              </w:rPr>
              <w:t>B. Measurement</w:t>
            </w:r>
          </w:p>
        </w:tc>
        <w:tc>
          <w:tcPr>
            <w:tcW w:w="1376" w:type="dxa"/>
          </w:tcPr>
          <w:p w:rsidR="006D69C1" w:rsidRDefault="006D69C1" w:rsidP="006D69C1">
            <w:pPr>
              <w:spacing w:after="0"/>
            </w:pPr>
          </w:p>
        </w:tc>
        <w:tc>
          <w:tcPr>
            <w:tcW w:w="2111" w:type="dxa"/>
          </w:tcPr>
          <w:p w:rsidR="006D69C1" w:rsidRDefault="006D69C1" w:rsidP="006D69C1">
            <w:pPr>
              <w:spacing w:after="0"/>
            </w:pPr>
          </w:p>
        </w:tc>
        <w:tc>
          <w:tcPr>
            <w:tcW w:w="1710" w:type="dxa"/>
          </w:tcPr>
          <w:p w:rsidR="006D69C1" w:rsidRDefault="006D69C1" w:rsidP="006D69C1">
            <w:pPr>
              <w:spacing w:after="0"/>
            </w:pPr>
          </w:p>
        </w:tc>
        <w:tc>
          <w:tcPr>
            <w:tcW w:w="1620" w:type="dxa"/>
          </w:tcPr>
          <w:p w:rsidR="006D69C1" w:rsidRDefault="006D69C1" w:rsidP="006D69C1">
            <w:pPr>
              <w:spacing w:after="0"/>
            </w:pPr>
          </w:p>
        </w:tc>
        <w:tc>
          <w:tcPr>
            <w:tcW w:w="1260" w:type="dxa"/>
          </w:tcPr>
          <w:p w:rsidR="006D69C1" w:rsidRDefault="006D69C1" w:rsidP="006D69C1">
            <w:pPr>
              <w:spacing w:after="0"/>
            </w:pPr>
          </w:p>
        </w:tc>
      </w:tr>
      <w:tr w:rsidR="006D69C1" w:rsidTr="000F5121">
        <w:trPr>
          <w:trHeight w:val="467"/>
        </w:trPr>
        <w:tc>
          <w:tcPr>
            <w:tcW w:w="4518" w:type="dxa"/>
          </w:tcPr>
          <w:p w:rsidR="006D69C1" w:rsidRPr="006D69C1" w:rsidRDefault="006D69C1" w:rsidP="006D69C1">
            <w:pPr>
              <w:spacing w:after="0"/>
              <w:rPr>
                <w:rFonts w:asciiTheme="minorHAnsi" w:hAnsiTheme="minorHAnsi" w:cstheme="minorHAnsi"/>
              </w:rPr>
            </w:pPr>
            <w:r w:rsidRPr="006D69C1">
              <w:rPr>
                <w:rFonts w:asciiTheme="minorHAnsi" w:hAnsiTheme="minorHAnsi" w:cstheme="minorHAnsi"/>
              </w:rPr>
              <w:t>1. Describes measurable attributes of objects</w:t>
            </w:r>
          </w:p>
        </w:tc>
        <w:tc>
          <w:tcPr>
            <w:tcW w:w="1376" w:type="dxa"/>
          </w:tcPr>
          <w:p w:rsidR="006D69C1" w:rsidRDefault="006D69C1" w:rsidP="006D69C1">
            <w:pPr>
              <w:spacing w:after="0"/>
            </w:pPr>
          </w:p>
        </w:tc>
        <w:tc>
          <w:tcPr>
            <w:tcW w:w="2111" w:type="dxa"/>
          </w:tcPr>
          <w:p w:rsidR="006D69C1" w:rsidRDefault="006D69C1" w:rsidP="006D69C1">
            <w:pPr>
              <w:spacing w:after="0"/>
            </w:pPr>
          </w:p>
        </w:tc>
        <w:tc>
          <w:tcPr>
            <w:tcW w:w="1710" w:type="dxa"/>
          </w:tcPr>
          <w:p w:rsidR="006D69C1" w:rsidRDefault="006D69C1" w:rsidP="006D69C1">
            <w:pPr>
              <w:spacing w:after="0"/>
            </w:pPr>
          </w:p>
        </w:tc>
        <w:tc>
          <w:tcPr>
            <w:tcW w:w="1620" w:type="dxa"/>
          </w:tcPr>
          <w:p w:rsidR="006D69C1" w:rsidRDefault="006D69C1" w:rsidP="006D69C1">
            <w:pPr>
              <w:spacing w:after="0"/>
            </w:pPr>
          </w:p>
        </w:tc>
        <w:tc>
          <w:tcPr>
            <w:tcW w:w="1260" w:type="dxa"/>
          </w:tcPr>
          <w:p w:rsidR="006D69C1" w:rsidRDefault="006D69C1" w:rsidP="006D69C1">
            <w:pPr>
              <w:spacing w:after="0"/>
            </w:pPr>
          </w:p>
        </w:tc>
      </w:tr>
      <w:tr w:rsidR="006D69C1" w:rsidTr="000F5121">
        <w:trPr>
          <w:trHeight w:val="467"/>
        </w:trPr>
        <w:tc>
          <w:tcPr>
            <w:tcW w:w="4518" w:type="dxa"/>
          </w:tcPr>
          <w:p w:rsidR="006D69C1" w:rsidRPr="006D69C1" w:rsidRDefault="006D69C1" w:rsidP="006D69C1">
            <w:pPr>
              <w:spacing w:after="0"/>
              <w:rPr>
                <w:rFonts w:asciiTheme="minorHAnsi" w:hAnsiTheme="minorHAnsi" w:cstheme="minorHAnsi"/>
              </w:rPr>
            </w:pPr>
            <w:r w:rsidRPr="006D69C1">
              <w:rPr>
                <w:rFonts w:asciiTheme="minorHAnsi" w:hAnsiTheme="minorHAnsi" w:cstheme="minorHAnsi"/>
              </w:rPr>
              <w:t>2. Compares two objects with a common measurable attribute</w:t>
            </w:r>
          </w:p>
        </w:tc>
        <w:tc>
          <w:tcPr>
            <w:tcW w:w="1376" w:type="dxa"/>
          </w:tcPr>
          <w:p w:rsidR="006D69C1" w:rsidRDefault="006D69C1" w:rsidP="006D69C1">
            <w:pPr>
              <w:spacing w:after="0"/>
            </w:pPr>
          </w:p>
        </w:tc>
        <w:tc>
          <w:tcPr>
            <w:tcW w:w="2111" w:type="dxa"/>
          </w:tcPr>
          <w:p w:rsidR="006D69C1" w:rsidRDefault="006D69C1" w:rsidP="006D69C1">
            <w:pPr>
              <w:spacing w:after="0"/>
            </w:pPr>
          </w:p>
        </w:tc>
        <w:tc>
          <w:tcPr>
            <w:tcW w:w="1710" w:type="dxa"/>
          </w:tcPr>
          <w:p w:rsidR="006D69C1" w:rsidRDefault="006D69C1" w:rsidP="006D69C1">
            <w:pPr>
              <w:spacing w:after="0"/>
            </w:pPr>
          </w:p>
        </w:tc>
        <w:tc>
          <w:tcPr>
            <w:tcW w:w="1620" w:type="dxa"/>
          </w:tcPr>
          <w:p w:rsidR="006D69C1" w:rsidRDefault="006D69C1" w:rsidP="006D69C1">
            <w:pPr>
              <w:spacing w:after="0"/>
            </w:pPr>
          </w:p>
        </w:tc>
        <w:tc>
          <w:tcPr>
            <w:tcW w:w="1260" w:type="dxa"/>
          </w:tcPr>
          <w:p w:rsidR="006D69C1" w:rsidRDefault="006D69C1" w:rsidP="006D69C1">
            <w:pPr>
              <w:spacing w:after="0"/>
            </w:pPr>
          </w:p>
        </w:tc>
      </w:tr>
      <w:tr w:rsidR="006D69C1" w:rsidTr="000F5121">
        <w:trPr>
          <w:trHeight w:val="467"/>
        </w:trPr>
        <w:tc>
          <w:tcPr>
            <w:tcW w:w="4518" w:type="dxa"/>
          </w:tcPr>
          <w:p w:rsidR="006D69C1" w:rsidRPr="006D69C1" w:rsidRDefault="006D69C1" w:rsidP="006D69C1">
            <w:pPr>
              <w:spacing w:after="0"/>
              <w:rPr>
                <w:rFonts w:asciiTheme="minorHAnsi" w:hAnsiTheme="minorHAnsi" w:cstheme="minorHAnsi"/>
              </w:rPr>
            </w:pPr>
            <w:r w:rsidRPr="006D69C1">
              <w:rPr>
                <w:rFonts w:asciiTheme="minorHAnsi" w:hAnsiTheme="minorHAnsi" w:cstheme="minorHAnsi"/>
              </w:rPr>
              <w:t>3. Chooses appropriate measurement tools and uses the tools to take measurements</w:t>
            </w:r>
          </w:p>
        </w:tc>
        <w:tc>
          <w:tcPr>
            <w:tcW w:w="1376" w:type="dxa"/>
          </w:tcPr>
          <w:p w:rsidR="006D69C1" w:rsidRDefault="006D69C1" w:rsidP="006D69C1">
            <w:pPr>
              <w:spacing w:after="0"/>
            </w:pPr>
          </w:p>
        </w:tc>
        <w:tc>
          <w:tcPr>
            <w:tcW w:w="2111" w:type="dxa"/>
          </w:tcPr>
          <w:p w:rsidR="006D69C1" w:rsidRDefault="006D69C1" w:rsidP="006D69C1">
            <w:pPr>
              <w:spacing w:after="0"/>
            </w:pPr>
          </w:p>
        </w:tc>
        <w:tc>
          <w:tcPr>
            <w:tcW w:w="1710" w:type="dxa"/>
          </w:tcPr>
          <w:p w:rsidR="006D69C1" w:rsidRDefault="006D69C1" w:rsidP="006D69C1">
            <w:pPr>
              <w:spacing w:after="0"/>
            </w:pPr>
          </w:p>
        </w:tc>
        <w:tc>
          <w:tcPr>
            <w:tcW w:w="1620" w:type="dxa"/>
          </w:tcPr>
          <w:p w:rsidR="006D69C1" w:rsidRDefault="006D69C1" w:rsidP="006D69C1">
            <w:pPr>
              <w:spacing w:after="0"/>
            </w:pPr>
          </w:p>
        </w:tc>
        <w:tc>
          <w:tcPr>
            <w:tcW w:w="1260" w:type="dxa"/>
          </w:tcPr>
          <w:p w:rsidR="006D69C1" w:rsidRDefault="006D69C1" w:rsidP="006D69C1">
            <w:pPr>
              <w:spacing w:after="0"/>
            </w:pPr>
          </w:p>
        </w:tc>
      </w:tr>
      <w:tr w:rsidR="006D69C1" w:rsidTr="000F5121">
        <w:trPr>
          <w:trHeight w:val="467"/>
        </w:trPr>
        <w:tc>
          <w:tcPr>
            <w:tcW w:w="4518" w:type="dxa"/>
          </w:tcPr>
          <w:p w:rsidR="006D69C1" w:rsidRPr="006D69C1" w:rsidRDefault="006D69C1" w:rsidP="006D69C1">
            <w:pPr>
              <w:spacing w:after="0"/>
              <w:rPr>
                <w:rFonts w:asciiTheme="minorHAnsi" w:hAnsiTheme="minorHAnsi" w:cstheme="minorHAnsi"/>
              </w:rPr>
            </w:pPr>
            <w:r w:rsidRPr="006D69C1">
              <w:rPr>
                <w:rFonts w:asciiTheme="minorHAnsi" w:hAnsiTheme="minorHAnsi" w:cstheme="minorHAnsi"/>
              </w:rPr>
              <w:t>4. Calculates and estimates perimeter, area, volume, and measurements of angles in mathematical and real-world problems</w:t>
            </w:r>
          </w:p>
        </w:tc>
        <w:tc>
          <w:tcPr>
            <w:tcW w:w="1376" w:type="dxa"/>
          </w:tcPr>
          <w:p w:rsidR="006D69C1" w:rsidRDefault="006D69C1" w:rsidP="006D69C1">
            <w:pPr>
              <w:spacing w:after="0"/>
            </w:pPr>
          </w:p>
        </w:tc>
        <w:tc>
          <w:tcPr>
            <w:tcW w:w="2111" w:type="dxa"/>
          </w:tcPr>
          <w:p w:rsidR="006D69C1" w:rsidRDefault="006D69C1" w:rsidP="006D69C1">
            <w:pPr>
              <w:spacing w:after="0"/>
            </w:pPr>
          </w:p>
        </w:tc>
        <w:tc>
          <w:tcPr>
            <w:tcW w:w="1710" w:type="dxa"/>
          </w:tcPr>
          <w:p w:rsidR="006D69C1" w:rsidRDefault="006D69C1" w:rsidP="006D69C1">
            <w:pPr>
              <w:spacing w:after="0"/>
            </w:pPr>
          </w:p>
        </w:tc>
        <w:tc>
          <w:tcPr>
            <w:tcW w:w="1620" w:type="dxa"/>
          </w:tcPr>
          <w:p w:rsidR="006D69C1" w:rsidRDefault="006D69C1" w:rsidP="006D69C1">
            <w:pPr>
              <w:spacing w:after="0"/>
            </w:pPr>
          </w:p>
        </w:tc>
        <w:tc>
          <w:tcPr>
            <w:tcW w:w="1260" w:type="dxa"/>
          </w:tcPr>
          <w:p w:rsidR="006D69C1" w:rsidRDefault="006D69C1" w:rsidP="006D69C1">
            <w:pPr>
              <w:spacing w:after="0"/>
            </w:pPr>
          </w:p>
        </w:tc>
      </w:tr>
      <w:tr w:rsidR="006D69C1" w:rsidTr="000F5121">
        <w:trPr>
          <w:trHeight w:val="467"/>
        </w:trPr>
        <w:tc>
          <w:tcPr>
            <w:tcW w:w="4518" w:type="dxa"/>
          </w:tcPr>
          <w:p w:rsidR="006D69C1" w:rsidRPr="006D69C1" w:rsidRDefault="006D69C1" w:rsidP="006D69C1">
            <w:pPr>
              <w:spacing w:after="0"/>
              <w:rPr>
                <w:rFonts w:asciiTheme="minorHAnsi" w:hAnsiTheme="minorHAnsi" w:cstheme="minorHAnsi"/>
              </w:rPr>
            </w:pPr>
            <w:r w:rsidRPr="006D69C1">
              <w:rPr>
                <w:rFonts w:asciiTheme="minorHAnsi" w:hAnsiTheme="minorHAnsi" w:cstheme="minorHAnsi"/>
              </w:rPr>
              <w:t>5. Converts between measurement units</w:t>
            </w:r>
          </w:p>
        </w:tc>
        <w:tc>
          <w:tcPr>
            <w:tcW w:w="1376" w:type="dxa"/>
          </w:tcPr>
          <w:p w:rsidR="006D69C1" w:rsidRDefault="006D69C1" w:rsidP="006D69C1">
            <w:pPr>
              <w:spacing w:after="0"/>
            </w:pPr>
          </w:p>
        </w:tc>
        <w:tc>
          <w:tcPr>
            <w:tcW w:w="2111" w:type="dxa"/>
          </w:tcPr>
          <w:p w:rsidR="006D69C1" w:rsidRDefault="006D69C1" w:rsidP="006D69C1">
            <w:pPr>
              <w:spacing w:after="0"/>
            </w:pPr>
          </w:p>
        </w:tc>
        <w:tc>
          <w:tcPr>
            <w:tcW w:w="1710" w:type="dxa"/>
          </w:tcPr>
          <w:p w:rsidR="006D69C1" w:rsidRDefault="006D69C1" w:rsidP="006D69C1">
            <w:pPr>
              <w:spacing w:after="0"/>
            </w:pPr>
          </w:p>
        </w:tc>
        <w:tc>
          <w:tcPr>
            <w:tcW w:w="1620" w:type="dxa"/>
          </w:tcPr>
          <w:p w:rsidR="006D69C1" w:rsidRDefault="006D69C1" w:rsidP="006D69C1">
            <w:pPr>
              <w:spacing w:after="0"/>
            </w:pPr>
          </w:p>
        </w:tc>
        <w:tc>
          <w:tcPr>
            <w:tcW w:w="1260" w:type="dxa"/>
          </w:tcPr>
          <w:p w:rsidR="006D69C1" w:rsidRDefault="006D69C1" w:rsidP="006D69C1">
            <w:pPr>
              <w:spacing w:after="0"/>
            </w:pPr>
          </w:p>
        </w:tc>
      </w:tr>
      <w:tr w:rsidR="006D69C1" w:rsidTr="000F5121">
        <w:trPr>
          <w:trHeight w:val="467"/>
        </w:trPr>
        <w:tc>
          <w:tcPr>
            <w:tcW w:w="4518" w:type="dxa"/>
          </w:tcPr>
          <w:p w:rsidR="006D69C1" w:rsidRPr="006D69C1" w:rsidRDefault="006D69C1" w:rsidP="006D69C1">
            <w:pPr>
              <w:autoSpaceDE w:val="0"/>
              <w:autoSpaceDN w:val="0"/>
              <w:adjustRightInd w:val="0"/>
              <w:spacing w:after="0" w:line="240" w:lineRule="auto"/>
              <w:rPr>
                <w:rFonts w:asciiTheme="minorHAnsi" w:hAnsiTheme="minorHAnsi" w:cstheme="minorHAnsi"/>
                <w:color w:val="000000"/>
              </w:rPr>
            </w:pPr>
            <w:r w:rsidRPr="006D69C1">
              <w:rPr>
                <w:rFonts w:asciiTheme="minorHAnsi" w:hAnsiTheme="minorHAnsi" w:cstheme="minorHAnsi"/>
                <w:b/>
                <w:bCs/>
                <w:color w:val="000000"/>
              </w:rPr>
              <w:lastRenderedPageBreak/>
              <w:t>C. Geometry</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4318ED" w:rsidRDefault="006D69C1" w:rsidP="00144F09">
            <w:pPr>
              <w:spacing w:after="0"/>
            </w:pPr>
            <w:r>
              <w:t>1. Demonstrates understanding of shapes and their attributes</w:t>
            </w:r>
          </w:p>
        </w:tc>
        <w:tc>
          <w:tcPr>
            <w:tcW w:w="1376" w:type="dxa"/>
          </w:tcPr>
          <w:p w:rsidR="006D69C1" w:rsidRDefault="006D69C1" w:rsidP="00144F09">
            <w:pPr>
              <w:spacing w:after="0"/>
            </w:pPr>
          </w:p>
        </w:tc>
        <w:tc>
          <w:tcPr>
            <w:tcW w:w="2111" w:type="dxa"/>
          </w:tcPr>
          <w:p w:rsidR="006D69C1" w:rsidRDefault="006D69C1" w:rsidP="00144F09">
            <w:pPr>
              <w:spacing w:after="0"/>
            </w:pPr>
          </w:p>
        </w:tc>
        <w:tc>
          <w:tcPr>
            <w:tcW w:w="1710" w:type="dxa"/>
          </w:tcPr>
          <w:p w:rsidR="006D69C1" w:rsidRDefault="006D69C1" w:rsidP="00144F09">
            <w:pPr>
              <w:spacing w:after="0"/>
            </w:pPr>
          </w:p>
        </w:tc>
        <w:tc>
          <w:tcPr>
            <w:tcW w:w="1620" w:type="dxa"/>
          </w:tcPr>
          <w:p w:rsidR="006D69C1" w:rsidRDefault="006D69C1" w:rsidP="00144F09">
            <w:pPr>
              <w:spacing w:after="0"/>
            </w:pPr>
          </w:p>
        </w:tc>
        <w:tc>
          <w:tcPr>
            <w:tcW w:w="1260" w:type="dxa"/>
          </w:tcPr>
          <w:p w:rsidR="006D69C1" w:rsidRDefault="006D69C1" w:rsidP="00144F09">
            <w:pPr>
              <w:spacing w:after="0"/>
            </w:pPr>
          </w:p>
        </w:tc>
      </w:tr>
      <w:tr w:rsidR="006D69C1" w:rsidTr="000F5121">
        <w:trPr>
          <w:trHeight w:val="467"/>
        </w:trPr>
        <w:tc>
          <w:tcPr>
            <w:tcW w:w="4518" w:type="dxa"/>
          </w:tcPr>
          <w:p w:rsidR="006D69C1" w:rsidRPr="004318ED" w:rsidRDefault="006D69C1" w:rsidP="00144F09">
            <w:pPr>
              <w:spacing w:after="0"/>
            </w:pPr>
            <w:r>
              <w:t>2. Composes and decomposes shapes</w:t>
            </w:r>
          </w:p>
        </w:tc>
        <w:tc>
          <w:tcPr>
            <w:tcW w:w="1376" w:type="dxa"/>
          </w:tcPr>
          <w:p w:rsidR="006D69C1" w:rsidRDefault="006D69C1" w:rsidP="00144F09">
            <w:pPr>
              <w:spacing w:after="0"/>
            </w:pPr>
          </w:p>
        </w:tc>
        <w:tc>
          <w:tcPr>
            <w:tcW w:w="2111" w:type="dxa"/>
          </w:tcPr>
          <w:p w:rsidR="006D69C1" w:rsidRDefault="006D69C1" w:rsidP="00144F09">
            <w:pPr>
              <w:spacing w:after="0"/>
            </w:pPr>
          </w:p>
        </w:tc>
        <w:tc>
          <w:tcPr>
            <w:tcW w:w="1710" w:type="dxa"/>
          </w:tcPr>
          <w:p w:rsidR="006D69C1" w:rsidRDefault="006D69C1" w:rsidP="00144F09">
            <w:pPr>
              <w:spacing w:after="0"/>
            </w:pPr>
          </w:p>
        </w:tc>
        <w:tc>
          <w:tcPr>
            <w:tcW w:w="1620" w:type="dxa"/>
          </w:tcPr>
          <w:p w:rsidR="006D69C1" w:rsidRDefault="006D69C1" w:rsidP="00144F09">
            <w:pPr>
              <w:spacing w:after="0"/>
            </w:pPr>
          </w:p>
        </w:tc>
        <w:tc>
          <w:tcPr>
            <w:tcW w:w="1260" w:type="dxa"/>
          </w:tcPr>
          <w:p w:rsidR="006D69C1" w:rsidRDefault="006D69C1" w:rsidP="00144F09">
            <w:pPr>
              <w:spacing w:after="0"/>
            </w:pPr>
          </w:p>
        </w:tc>
      </w:tr>
      <w:tr w:rsidR="006D69C1" w:rsidTr="000F5121">
        <w:trPr>
          <w:trHeight w:val="467"/>
        </w:trPr>
        <w:tc>
          <w:tcPr>
            <w:tcW w:w="4518" w:type="dxa"/>
          </w:tcPr>
          <w:p w:rsidR="006D69C1" w:rsidRPr="004318ED" w:rsidRDefault="006D69C1" w:rsidP="00144F09">
            <w:pPr>
              <w:spacing w:after="0"/>
            </w:pPr>
            <w:r>
              <w:t>3. Draws shapes based on specific attributes such as number of angles and number of equal faces</w:t>
            </w:r>
          </w:p>
        </w:tc>
        <w:tc>
          <w:tcPr>
            <w:tcW w:w="1376" w:type="dxa"/>
          </w:tcPr>
          <w:p w:rsidR="006D69C1" w:rsidRDefault="006D69C1" w:rsidP="00144F09">
            <w:pPr>
              <w:spacing w:after="0"/>
            </w:pPr>
          </w:p>
        </w:tc>
        <w:tc>
          <w:tcPr>
            <w:tcW w:w="2111" w:type="dxa"/>
          </w:tcPr>
          <w:p w:rsidR="006D69C1" w:rsidRDefault="006D69C1" w:rsidP="00144F09">
            <w:pPr>
              <w:spacing w:after="0"/>
            </w:pPr>
          </w:p>
        </w:tc>
        <w:tc>
          <w:tcPr>
            <w:tcW w:w="1710" w:type="dxa"/>
          </w:tcPr>
          <w:p w:rsidR="006D69C1" w:rsidRDefault="006D69C1" w:rsidP="00144F09">
            <w:pPr>
              <w:spacing w:after="0"/>
            </w:pPr>
          </w:p>
        </w:tc>
        <w:tc>
          <w:tcPr>
            <w:tcW w:w="1620" w:type="dxa"/>
          </w:tcPr>
          <w:p w:rsidR="006D69C1" w:rsidRDefault="006D69C1" w:rsidP="00144F09">
            <w:pPr>
              <w:spacing w:after="0"/>
            </w:pPr>
          </w:p>
        </w:tc>
        <w:tc>
          <w:tcPr>
            <w:tcW w:w="1260" w:type="dxa"/>
          </w:tcPr>
          <w:p w:rsidR="006D69C1" w:rsidRDefault="006D69C1" w:rsidP="00144F09">
            <w:pPr>
              <w:spacing w:after="0"/>
            </w:pPr>
          </w:p>
        </w:tc>
      </w:tr>
      <w:tr w:rsidR="006D69C1" w:rsidTr="000F5121">
        <w:trPr>
          <w:trHeight w:val="467"/>
        </w:trPr>
        <w:tc>
          <w:tcPr>
            <w:tcW w:w="4518" w:type="dxa"/>
          </w:tcPr>
          <w:p w:rsidR="006D69C1" w:rsidRPr="004318ED" w:rsidRDefault="006D69C1" w:rsidP="00144F09">
            <w:pPr>
              <w:spacing w:after="0"/>
            </w:pPr>
            <w:r>
              <w:t>4. Demonstrates understanding of lines, line segments, rays, and angles in two-dimensional figures</w:t>
            </w:r>
          </w:p>
        </w:tc>
        <w:tc>
          <w:tcPr>
            <w:tcW w:w="1376" w:type="dxa"/>
          </w:tcPr>
          <w:p w:rsidR="006D69C1" w:rsidRDefault="006D69C1" w:rsidP="00144F09">
            <w:pPr>
              <w:spacing w:after="0"/>
            </w:pPr>
          </w:p>
        </w:tc>
        <w:tc>
          <w:tcPr>
            <w:tcW w:w="2111" w:type="dxa"/>
          </w:tcPr>
          <w:p w:rsidR="006D69C1" w:rsidRDefault="006D69C1" w:rsidP="00144F09">
            <w:pPr>
              <w:spacing w:after="0"/>
            </w:pPr>
          </w:p>
        </w:tc>
        <w:tc>
          <w:tcPr>
            <w:tcW w:w="1710" w:type="dxa"/>
          </w:tcPr>
          <w:p w:rsidR="006D69C1" w:rsidRDefault="006D69C1" w:rsidP="00144F09">
            <w:pPr>
              <w:spacing w:after="0"/>
            </w:pPr>
          </w:p>
        </w:tc>
        <w:tc>
          <w:tcPr>
            <w:tcW w:w="1620" w:type="dxa"/>
          </w:tcPr>
          <w:p w:rsidR="006D69C1" w:rsidRDefault="006D69C1" w:rsidP="00144F09">
            <w:pPr>
              <w:spacing w:after="0"/>
            </w:pPr>
          </w:p>
        </w:tc>
        <w:tc>
          <w:tcPr>
            <w:tcW w:w="1260" w:type="dxa"/>
          </w:tcPr>
          <w:p w:rsidR="006D69C1" w:rsidRDefault="006D69C1" w:rsidP="00144F09">
            <w:pPr>
              <w:spacing w:after="0"/>
            </w:pPr>
          </w:p>
        </w:tc>
      </w:tr>
      <w:tr w:rsidR="006D69C1" w:rsidTr="000F5121">
        <w:trPr>
          <w:trHeight w:val="467"/>
        </w:trPr>
        <w:tc>
          <w:tcPr>
            <w:tcW w:w="4518" w:type="dxa"/>
          </w:tcPr>
          <w:p w:rsidR="006D69C1" w:rsidRPr="004318ED" w:rsidRDefault="006D69C1" w:rsidP="00144F09">
            <w:pPr>
              <w:spacing w:after="0"/>
            </w:pPr>
            <w:r>
              <w:t>5. Classifies two-dimensional figures based on properties</w:t>
            </w:r>
          </w:p>
        </w:tc>
        <w:tc>
          <w:tcPr>
            <w:tcW w:w="1376" w:type="dxa"/>
          </w:tcPr>
          <w:p w:rsidR="006D69C1" w:rsidRDefault="006D69C1" w:rsidP="00144F09">
            <w:pPr>
              <w:spacing w:after="0"/>
            </w:pPr>
          </w:p>
        </w:tc>
        <w:tc>
          <w:tcPr>
            <w:tcW w:w="2111" w:type="dxa"/>
          </w:tcPr>
          <w:p w:rsidR="006D69C1" w:rsidRDefault="006D69C1" w:rsidP="00144F09">
            <w:pPr>
              <w:spacing w:after="0"/>
            </w:pPr>
          </w:p>
        </w:tc>
        <w:tc>
          <w:tcPr>
            <w:tcW w:w="1710" w:type="dxa"/>
          </w:tcPr>
          <w:p w:rsidR="006D69C1" w:rsidRDefault="006D69C1" w:rsidP="00144F09">
            <w:pPr>
              <w:spacing w:after="0"/>
            </w:pPr>
          </w:p>
        </w:tc>
        <w:tc>
          <w:tcPr>
            <w:tcW w:w="1620" w:type="dxa"/>
          </w:tcPr>
          <w:p w:rsidR="006D69C1" w:rsidRDefault="006D69C1" w:rsidP="00144F09">
            <w:pPr>
              <w:spacing w:after="0"/>
            </w:pPr>
          </w:p>
        </w:tc>
        <w:tc>
          <w:tcPr>
            <w:tcW w:w="1260" w:type="dxa"/>
          </w:tcPr>
          <w:p w:rsidR="006D69C1" w:rsidRDefault="006D69C1" w:rsidP="00144F09">
            <w:pPr>
              <w:spacing w:after="0"/>
            </w:pPr>
          </w:p>
        </w:tc>
      </w:tr>
    </w:tbl>
    <w:p w:rsidR="000247E2" w:rsidRDefault="000247E2" w:rsidP="000247E2"/>
    <w:p w:rsidR="000247E2" w:rsidRDefault="000247E2" w:rsidP="000247E2"/>
    <w:p w:rsidR="00A53788" w:rsidRDefault="00A53788"/>
    <w:sectPr w:rsidR="00A53788" w:rsidSect="000F1AFD">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B65" w:rsidRDefault="003D3B65" w:rsidP="000247E2">
      <w:pPr>
        <w:spacing w:after="0" w:line="240" w:lineRule="auto"/>
      </w:pPr>
      <w:r>
        <w:separator/>
      </w:r>
    </w:p>
  </w:endnote>
  <w:endnote w:type="continuationSeparator" w:id="0">
    <w:p w:rsidR="003D3B65" w:rsidRDefault="003D3B65" w:rsidP="00024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Myriad Pro Light">
    <w:panose1 w:val="00000000000000000000"/>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E4E" w:rsidRDefault="000A3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4D7" w:rsidRPr="00E15F3B" w:rsidRDefault="000247E2" w:rsidP="005F24D7">
    <w:pPr>
      <w:pStyle w:val="Footer"/>
      <w:spacing w:after="0"/>
      <w:rPr>
        <w:sz w:val="16"/>
      </w:rPr>
    </w:pPr>
    <w:r>
      <w:rPr>
        <w:noProof/>
      </w:rPr>
      <mc:AlternateContent>
        <mc:Choice Requires="wps">
          <w:drawing>
            <wp:inline distT="0" distB="0" distL="0" distR="0">
              <wp:extent cx="822960" cy="396240"/>
              <wp:effectExtent l="0" t="0" r="0" b="3810"/>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472" w:rsidRDefault="00044D80" w:rsidP="00FB0472">
                          <w:pPr>
                            <w:pBdr>
                              <w:top w:val="single" w:sz="4" w:space="1" w:color="D8D8D8"/>
                            </w:pBdr>
                            <w:jc w:val="right"/>
                          </w:pPr>
                          <w:r>
                            <w:t xml:space="preserve">Page | </w:t>
                          </w:r>
                          <w:r>
                            <w:fldChar w:fldCharType="begin"/>
                          </w:r>
                          <w:r>
                            <w:instrText xml:space="preserve"> PAGE   \* MERGEFORMAT </w:instrText>
                          </w:r>
                          <w:r>
                            <w:fldChar w:fldCharType="separate"/>
                          </w:r>
                          <w:r w:rsidR="00E968B4">
                            <w:rPr>
                              <w:noProof/>
                            </w:rPr>
                            <w:t>6</w:t>
                          </w:r>
                          <w:r>
                            <w:rPr>
                              <w:noProof/>
                            </w:rPr>
                            <w:fldChar w:fldCharType="end"/>
                          </w:r>
                        </w:p>
                      </w:txbxContent>
                    </wps:txbx>
                    <wps:bodyPr rot="0" vert="horz" wrap="square" lIns="0" tIns="45720" rIns="0" bIns="45720" anchor="t" anchorCtr="0" upright="1">
                      <a:spAutoFit/>
                    </wps:bodyPr>
                  </wps:wsp>
                </a:graphicData>
              </a:graphic>
            </wp:inline>
          </w:drawing>
        </mc:Choice>
        <mc:Fallback>
          <w:pict>
            <v:rect id="Rectangle 3" o:spid="_x0000_s1026" style="width:64.8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" stroked="f">
              <v:textbox style="mso-fit-shape-to-text:t" inset="0,,0">
                <w:txbxContent>
                  <w:p w:rsidR="00FB0472" w:rsidRDefault="00044D80" w:rsidP="00FB0472">
                    <w:pPr>
                      <w:pBdr>
                        <w:top w:val="single" w:sz="4" w:space="1" w:color="D8D8D8"/>
                      </w:pBdr>
                      <w:jc w:val="right"/>
                    </w:pPr>
                    <w:r>
                      <w:t xml:space="preserve">Page | </w:t>
                    </w:r>
                    <w:r>
                      <w:fldChar w:fldCharType="begin"/>
                    </w:r>
                    <w:r>
                      <w:instrText xml:space="preserve"> PAGE   \* MERGEFORMAT </w:instrText>
                    </w:r>
                    <w:r>
                      <w:fldChar w:fldCharType="separate"/>
                    </w:r>
                    <w:r w:rsidR="00E968B4">
                      <w:rPr>
                        <w:noProof/>
                      </w:rPr>
                      <w:t>6</w:t>
                    </w:r>
                    <w:r>
                      <w:rPr>
                        <w:noProof/>
                      </w:rPr>
                      <w:fldChar w:fldCharType="end"/>
                    </w:r>
                  </w:p>
                </w:txbxContent>
              </v:textbox>
              <w10:anchorlock/>
            </v:rect>
          </w:pict>
        </mc:Fallback>
      </mc:AlternateContent>
    </w:r>
    <w:r w:rsidR="00044D80" w:rsidRPr="00E15F3B">
      <w:rPr>
        <w:sz w:val="16"/>
      </w:rPr>
      <w:t>Copyright © 201</w:t>
    </w:r>
    <w:r w:rsidR="00E968B4">
      <w:rPr>
        <w:sz w:val="16"/>
      </w:rPr>
      <w:t>9</w:t>
    </w:r>
    <w:r w:rsidR="00044D80" w:rsidRPr="00E15F3B">
      <w:rPr>
        <w:sz w:val="16"/>
      </w:rPr>
      <w:t xml:space="preserve"> by Educational Testing Service. All rights reserved.  </w:t>
    </w:r>
    <w:r w:rsidR="00044D80" w:rsidRPr="00E15F3B">
      <w:rPr>
        <w:bCs/>
        <w:sz w:val="16"/>
      </w:rPr>
      <w:t xml:space="preserve">ETS, the ETS logo and </w:t>
    </w:r>
    <w:r w:rsidR="00044D80">
      <w:rPr>
        <w:bCs/>
        <w:sz w:val="16"/>
      </w:rPr>
      <w:t xml:space="preserve">PRAXIS </w:t>
    </w:r>
    <w:r w:rsidR="00044D80" w:rsidRPr="00E15F3B">
      <w:rPr>
        <w:bCs/>
        <w:sz w:val="16"/>
      </w:rPr>
      <w:t xml:space="preserve">are registered trademarks of Educational Testing Service (ETS).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E4E" w:rsidRDefault="000A3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B65" w:rsidRDefault="003D3B65" w:rsidP="000247E2">
      <w:pPr>
        <w:spacing w:after="0" w:line="240" w:lineRule="auto"/>
      </w:pPr>
      <w:r>
        <w:separator/>
      </w:r>
    </w:p>
  </w:footnote>
  <w:footnote w:type="continuationSeparator" w:id="0">
    <w:p w:rsidR="003D3B65" w:rsidRDefault="003D3B65" w:rsidP="00024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E4E" w:rsidRDefault="000A3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4D7" w:rsidRPr="005F24D7" w:rsidRDefault="000247E2" w:rsidP="000F1AFD">
    <w:pPr>
      <w:pStyle w:val="Header"/>
      <w:tabs>
        <w:tab w:val="clear" w:pos="4680"/>
        <w:tab w:val="clear" w:pos="9360"/>
        <w:tab w:val="center" w:pos="6480"/>
      </w:tabs>
      <w:rPr>
        <w:rFonts w:ascii="Arial" w:hAnsi="Arial" w:cs="Arial"/>
        <w:b/>
        <w:sz w:val="28"/>
        <w:szCs w:val="24"/>
      </w:rPr>
    </w:pPr>
    <w:r w:rsidRPr="000247E2">
      <w:rPr>
        <w:rFonts w:ascii="Arial" w:hAnsi="Arial" w:cs="Arial"/>
        <w:b/>
        <w:noProof/>
        <w:sz w:val="24"/>
      </w:rPr>
      <w:drawing>
        <wp:inline distT="0" distB="0" distL="0" distR="0">
          <wp:extent cx="980694" cy="351286"/>
          <wp:effectExtent l="0" t="0" r="0" b="0"/>
          <wp:docPr id="1" name="Picture 2" descr="ETS® PRAXIS logo"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TS® PRAXIS logo" title="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351155"/>
                  </a:xfrm>
                  <a:prstGeom prst="rect">
                    <a:avLst/>
                  </a:prstGeom>
                  <a:noFill/>
                  <a:ln>
                    <a:noFill/>
                  </a:ln>
                </pic:spPr>
              </pic:pic>
            </a:graphicData>
          </a:graphic>
        </wp:inline>
      </w:drawing>
    </w:r>
    <w:r w:rsidR="00044D80">
      <w:rPr>
        <w:rFonts w:ascii="Arial" w:hAnsi="Arial" w:cs="Arial"/>
        <w:b/>
        <w:sz w:val="24"/>
      </w:rPr>
      <w:tab/>
    </w:r>
    <w:r w:rsidR="00044D80" w:rsidRPr="0072789B">
      <w:rPr>
        <w:rFonts w:ascii="Arial" w:hAnsi="Arial" w:cs="Arial"/>
        <w:b/>
        <w:i/>
        <w:sz w:val="28"/>
      </w:rPr>
      <w:t>Praxis</w:t>
    </w:r>
    <w:r w:rsidR="00044D80" w:rsidRPr="005F24D7">
      <w:rPr>
        <w:rFonts w:ascii="Arial" w:hAnsi="Arial" w:cs="Arial"/>
        <w:b/>
        <w:sz w:val="28"/>
        <w:vertAlign w:val="superscript"/>
      </w:rPr>
      <w:t>®</w:t>
    </w:r>
    <w:r w:rsidR="006D69C1" w:rsidRPr="006D69C1">
      <w:rPr>
        <w:rFonts w:ascii="Arial" w:hAnsi="Arial" w:cs="Arial"/>
        <w:b/>
        <w:bCs/>
        <w:sz w:val="28"/>
        <w:szCs w:val="28"/>
      </w:rPr>
      <w:t xml:space="preserve"> </w:t>
    </w:r>
    <w:r w:rsidR="006D69C1" w:rsidRPr="00B52C3E">
      <w:rPr>
        <w:rFonts w:ascii="Arial" w:hAnsi="Arial" w:cs="Arial"/>
        <w:b/>
        <w:bCs/>
        <w:sz w:val="28"/>
        <w:szCs w:val="28"/>
      </w:rPr>
      <w:t xml:space="preserve">Elementary Education: </w:t>
    </w:r>
    <w:r w:rsidR="006D69C1">
      <w:rPr>
        <w:rFonts w:ascii="Arial" w:hAnsi="Arial" w:cs="Arial"/>
        <w:b/>
        <w:bCs/>
        <w:sz w:val="28"/>
        <w:szCs w:val="28"/>
      </w:rPr>
      <w:t>Mathematics—CKT (78</w:t>
    </w:r>
    <w:r w:rsidR="000A3E4E">
      <w:rPr>
        <w:rFonts w:ascii="Arial" w:hAnsi="Arial" w:cs="Arial"/>
        <w:b/>
        <w:bCs/>
        <w:sz w:val="28"/>
        <w:szCs w:val="28"/>
      </w:rPr>
      <w:t>1</w:t>
    </w:r>
    <w:r w:rsidR="006D69C1">
      <w:rPr>
        <w:rFonts w:ascii="Arial" w:hAnsi="Arial" w:cs="Arial"/>
        <w:b/>
        <w:bCs/>
        <w:sz w:val="28"/>
        <w:szCs w:val="28"/>
      </w:rPr>
      <w:t>3</w:t>
    </w:r>
    <w:r w:rsidR="006D69C1" w:rsidRPr="00B52C3E">
      <w:rPr>
        <w:rFonts w:ascii="Arial" w:hAnsi="Arial" w:cs="Arial"/>
        <w:b/>
        <w:bCs/>
        <w:sz w:val="28"/>
        <w:szCs w:val="28"/>
      </w:rPr>
      <w:t>)</w:t>
    </w:r>
    <w:r w:rsidR="006D69C1" w:rsidRPr="00BA779F">
      <w:rPr>
        <w:rFonts w:ascii="Arial" w:hAnsi="Arial" w:cs="Arial"/>
        <w:b/>
        <w:sz w:val="28"/>
        <w:szCs w:val="28"/>
      </w:rPr>
      <w:t xml:space="preserve"> </w:t>
    </w:r>
    <w:r w:rsidR="00044D80" w:rsidRPr="006E00F6">
      <w:rPr>
        <w:rFonts w:ascii="Arial" w:hAnsi="Arial" w:cs="Arial"/>
        <w:b/>
        <w:sz w:val="28"/>
      </w:rPr>
      <w:t xml:space="preserve"> </w:t>
    </w:r>
  </w:p>
  <w:p w:rsidR="005F24D7" w:rsidRDefault="00044D80" w:rsidP="00C8657E">
    <w:pPr>
      <w:pStyle w:val="Header"/>
      <w:tabs>
        <w:tab w:val="clear" w:pos="4680"/>
        <w:tab w:val="clear" w:pos="9360"/>
        <w:tab w:val="center" w:pos="6480"/>
      </w:tabs>
      <w:jc w:val="center"/>
      <w:rPr>
        <w:rFonts w:ascii="Arial" w:hAnsi="Arial" w:cs="Arial"/>
        <w:b/>
        <w:sz w:val="28"/>
        <w:szCs w:val="28"/>
      </w:rPr>
    </w:pPr>
    <w:r>
      <w:rPr>
        <w:rFonts w:ascii="Arial" w:hAnsi="Arial" w:cs="Arial"/>
        <w:b/>
        <w:sz w:val="28"/>
        <w:szCs w:val="28"/>
      </w:rPr>
      <w:t>Study Plan</w:t>
    </w:r>
  </w:p>
  <w:p w:rsidR="000A3E4E" w:rsidRPr="00C8657E" w:rsidRDefault="000A3E4E" w:rsidP="00C8657E">
    <w:pPr>
      <w:pStyle w:val="Header"/>
      <w:tabs>
        <w:tab w:val="clear" w:pos="4680"/>
        <w:tab w:val="clear" w:pos="9360"/>
        <w:tab w:val="center" w:pos="6480"/>
      </w:tabs>
      <w:jc w:val="center"/>
      <w:rPr>
        <w:rFonts w:ascii="Arial" w:hAnsi="Arial" w:cs="Arial"/>
        <w:b/>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E4E" w:rsidRDefault="000A3E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7E2"/>
    <w:rsid w:val="000148E1"/>
    <w:rsid w:val="00017173"/>
    <w:rsid w:val="00021EC9"/>
    <w:rsid w:val="000247E2"/>
    <w:rsid w:val="00040D33"/>
    <w:rsid w:val="00044D80"/>
    <w:rsid w:val="000454DD"/>
    <w:rsid w:val="00051444"/>
    <w:rsid w:val="00065B31"/>
    <w:rsid w:val="000719C8"/>
    <w:rsid w:val="000A1D3B"/>
    <w:rsid w:val="000A3E4E"/>
    <w:rsid w:val="000A660C"/>
    <w:rsid w:val="000B0984"/>
    <w:rsid w:val="000E3423"/>
    <w:rsid w:val="001014AA"/>
    <w:rsid w:val="00111C69"/>
    <w:rsid w:val="0011567F"/>
    <w:rsid w:val="00144F09"/>
    <w:rsid w:val="00152A79"/>
    <w:rsid w:val="0015795E"/>
    <w:rsid w:val="001751DC"/>
    <w:rsid w:val="00195768"/>
    <w:rsid w:val="001A118D"/>
    <w:rsid w:val="001A4972"/>
    <w:rsid w:val="001B3F12"/>
    <w:rsid w:val="001E1D38"/>
    <w:rsid w:val="002127DB"/>
    <w:rsid w:val="0021707A"/>
    <w:rsid w:val="00220678"/>
    <w:rsid w:val="00232227"/>
    <w:rsid w:val="0025028D"/>
    <w:rsid w:val="00260F43"/>
    <w:rsid w:val="00260F8B"/>
    <w:rsid w:val="00261CBD"/>
    <w:rsid w:val="002705B0"/>
    <w:rsid w:val="0028440F"/>
    <w:rsid w:val="002857F6"/>
    <w:rsid w:val="0029320B"/>
    <w:rsid w:val="00296F4B"/>
    <w:rsid w:val="002A6ECF"/>
    <w:rsid w:val="002D12DE"/>
    <w:rsid w:val="002E3CB8"/>
    <w:rsid w:val="002F60C3"/>
    <w:rsid w:val="00306D54"/>
    <w:rsid w:val="0032392A"/>
    <w:rsid w:val="00325DD6"/>
    <w:rsid w:val="00335DBB"/>
    <w:rsid w:val="00350AF0"/>
    <w:rsid w:val="003824AB"/>
    <w:rsid w:val="0038453C"/>
    <w:rsid w:val="003B0BB2"/>
    <w:rsid w:val="003B54FF"/>
    <w:rsid w:val="003B6CE0"/>
    <w:rsid w:val="003D3B65"/>
    <w:rsid w:val="003D4BF2"/>
    <w:rsid w:val="003E7C57"/>
    <w:rsid w:val="003F3071"/>
    <w:rsid w:val="00415158"/>
    <w:rsid w:val="00433D6B"/>
    <w:rsid w:val="00436490"/>
    <w:rsid w:val="004457E4"/>
    <w:rsid w:val="00467011"/>
    <w:rsid w:val="00471103"/>
    <w:rsid w:val="00473F55"/>
    <w:rsid w:val="0047433F"/>
    <w:rsid w:val="00490E3D"/>
    <w:rsid w:val="004A3026"/>
    <w:rsid w:val="004A7C3A"/>
    <w:rsid w:val="004C7D6E"/>
    <w:rsid w:val="004E3005"/>
    <w:rsid w:val="004F28ED"/>
    <w:rsid w:val="004F333C"/>
    <w:rsid w:val="004F52B5"/>
    <w:rsid w:val="005049B6"/>
    <w:rsid w:val="00510B49"/>
    <w:rsid w:val="00515F92"/>
    <w:rsid w:val="00526D12"/>
    <w:rsid w:val="0054575E"/>
    <w:rsid w:val="00551343"/>
    <w:rsid w:val="00566DB7"/>
    <w:rsid w:val="0058669F"/>
    <w:rsid w:val="005B26B5"/>
    <w:rsid w:val="005C6E81"/>
    <w:rsid w:val="005D5EA5"/>
    <w:rsid w:val="005E7E11"/>
    <w:rsid w:val="005F26BC"/>
    <w:rsid w:val="005F682B"/>
    <w:rsid w:val="00600C17"/>
    <w:rsid w:val="00606A15"/>
    <w:rsid w:val="0061518E"/>
    <w:rsid w:val="006152F7"/>
    <w:rsid w:val="006200B1"/>
    <w:rsid w:val="00633E85"/>
    <w:rsid w:val="00637E44"/>
    <w:rsid w:val="006479A0"/>
    <w:rsid w:val="006560E4"/>
    <w:rsid w:val="00664691"/>
    <w:rsid w:val="0067270B"/>
    <w:rsid w:val="006C17D0"/>
    <w:rsid w:val="006C3A21"/>
    <w:rsid w:val="006D69C1"/>
    <w:rsid w:val="006D706E"/>
    <w:rsid w:val="006E53F7"/>
    <w:rsid w:val="006E543F"/>
    <w:rsid w:val="006F794B"/>
    <w:rsid w:val="0071119D"/>
    <w:rsid w:val="007749EE"/>
    <w:rsid w:val="00782CC0"/>
    <w:rsid w:val="00794D92"/>
    <w:rsid w:val="007B5A9C"/>
    <w:rsid w:val="007C4A95"/>
    <w:rsid w:val="007C732C"/>
    <w:rsid w:val="007E5A1C"/>
    <w:rsid w:val="007E69A7"/>
    <w:rsid w:val="00823E71"/>
    <w:rsid w:val="0082562A"/>
    <w:rsid w:val="00825D54"/>
    <w:rsid w:val="00830381"/>
    <w:rsid w:val="00832BE2"/>
    <w:rsid w:val="00850B65"/>
    <w:rsid w:val="00884ECE"/>
    <w:rsid w:val="00885C85"/>
    <w:rsid w:val="008B1B67"/>
    <w:rsid w:val="008C51D5"/>
    <w:rsid w:val="008E6985"/>
    <w:rsid w:val="008E69E9"/>
    <w:rsid w:val="00906029"/>
    <w:rsid w:val="00906823"/>
    <w:rsid w:val="00915320"/>
    <w:rsid w:val="00926901"/>
    <w:rsid w:val="009320DE"/>
    <w:rsid w:val="00935499"/>
    <w:rsid w:val="009423DF"/>
    <w:rsid w:val="00947913"/>
    <w:rsid w:val="00952DE4"/>
    <w:rsid w:val="00953954"/>
    <w:rsid w:val="00963DD6"/>
    <w:rsid w:val="00973ABB"/>
    <w:rsid w:val="00973BEE"/>
    <w:rsid w:val="00977739"/>
    <w:rsid w:val="00982428"/>
    <w:rsid w:val="009852D2"/>
    <w:rsid w:val="00992416"/>
    <w:rsid w:val="009B3378"/>
    <w:rsid w:val="009B6708"/>
    <w:rsid w:val="009C2A1F"/>
    <w:rsid w:val="009C673F"/>
    <w:rsid w:val="009C6D69"/>
    <w:rsid w:val="00A27CC2"/>
    <w:rsid w:val="00A27FE0"/>
    <w:rsid w:val="00A334FF"/>
    <w:rsid w:val="00A42FC8"/>
    <w:rsid w:val="00A474CA"/>
    <w:rsid w:val="00A53788"/>
    <w:rsid w:val="00A55995"/>
    <w:rsid w:val="00A71002"/>
    <w:rsid w:val="00A85176"/>
    <w:rsid w:val="00AA1CD8"/>
    <w:rsid w:val="00AA1FA8"/>
    <w:rsid w:val="00AA36DB"/>
    <w:rsid w:val="00AA7625"/>
    <w:rsid w:val="00AC3CD7"/>
    <w:rsid w:val="00AC4753"/>
    <w:rsid w:val="00AF0EBB"/>
    <w:rsid w:val="00B14179"/>
    <w:rsid w:val="00B20549"/>
    <w:rsid w:val="00B20DB8"/>
    <w:rsid w:val="00B31522"/>
    <w:rsid w:val="00B36501"/>
    <w:rsid w:val="00B51D84"/>
    <w:rsid w:val="00B77BEF"/>
    <w:rsid w:val="00B819CB"/>
    <w:rsid w:val="00B81EA9"/>
    <w:rsid w:val="00B84D3C"/>
    <w:rsid w:val="00BB1EBB"/>
    <w:rsid w:val="00BC3D87"/>
    <w:rsid w:val="00BC5B12"/>
    <w:rsid w:val="00BC67F6"/>
    <w:rsid w:val="00C306CB"/>
    <w:rsid w:val="00C47081"/>
    <w:rsid w:val="00C666ED"/>
    <w:rsid w:val="00C829ED"/>
    <w:rsid w:val="00C971EF"/>
    <w:rsid w:val="00CA1C59"/>
    <w:rsid w:val="00CA42E9"/>
    <w:rsid w:val="00CA6241"/>
    <w:rsid w:val="00CE011F"/>
    <w:rsid w:val="00CF14A5"/>
    <w:rsid w:val="00CF36E1"/>
    <w:rsid w:val="00D00A6C"/>
    <w:rsid w:val="00D1217F"/>
    <w:rsid w:val="00D147DA"/>
    <w:rsid w:val="00D2579A"/>
    <w:rsid w:val="00D352F2"/>
    <w:rsid w:val="00D37606"/>
    <w:rsid w:val="00D40441"/>
    <w:rsid w:val="00D560A3"/>
    <w:rsid w:val="00D60C5D"/>
    <w:rsid w:val="00D63EFA"/>
    <w:rsid w:val="00DA3823"/>
    <w:rsid w:val="00DE0E7E"/>
    <w:rsid w:val="00DE1F09"/>
    <w:rsid w:val="00E20287"/>
    <w:rsid w:val="00E30C3E"/>
    <w:rsid w:val="00E74DF7"/>
    <w:rsid w:val="00E855E4"/>
    <w:rsid w:val="00E968B4"/>
    <w:rsid w:val="00EB23BD"/>
    <w:rsid w:val="00EB3E81"/>
    <w:rsid w:val="00EB57B7"/>
    <w:rsid w:val="00EF137A"/>
    <w:rsid w:val="00EF1620"/>
    <w:rsid w:val="00EF187E"/>
    <w:rsid w:val="00EF2011"/>
    <w:rsid w:val="00F10C62"/>
    <w:rsid w:val="00F13C48"/>
    <w:rsid w:val="00F2076E"/>
    <w:rsid w:val="00F2281D"/>
    <w:rsid w:val="00F2313D"/>
    <w:rsid w:val="00F450F3"/>
    <w:rsid w:val="00F46C8B"/>
    <w:rsid w:val="00F572F5"/>
    <w:rsid w:val="00FA46FF"/>
    <w:rsid w:val="00FB161A"/>
    <w:rsid w:val="00FC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075DF2-C55D-4F12-9D1A-DCBD1C1E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7E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4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7E2"/>
    <w:rPr>
      <w:sz w:val="22"/>
      <w:szCs w:val="22"/>
    </w:rPr>
  </w:style>
  <w:style w:type="paragraph" w:styleId="Footer">
    <w:name w:val="footer"/>
    <w:basedOn w:val="Normal"/>
    <w:link w:val="FooterChar"/>
    <w:uiPriority w:val="99"/>
    <w:unhideWhenUsed/>
    <w:rsid w:val="000247E2"/>
    <w:pPr>
      <w:tabs>
        <w:tab w:val="center" w:pos="4680"/>
        <w:tab w:val="right" w:pos="9360"/>
      </w:tabs>
    </w:pPr>
  </w:style>
  <w:style w:type="character" w:customStyle="1" w:styleId="FooterChar">
    <w:name w:val="Footer Char"/>
    <w:basedOn w:val="DefaultParagraphFont"/>
    <w:link w:val="Footer"/>
    <w:uiPriority w:val="99"/>
    <w:rsid w:val="000247E2"/>
    <w:rPr>
      <w:sz w:val="22"/>
      <w:szCs w:val="22"/>
    </w:rPr>
  </w:style>
  <w:style w:type="paragraph" w:customStyle="1" w:styleId="Default">
    <w:name w:val="Default"/>
    <w:rsid w:val="000247E2"/>
    <w:pPr>
      <w:autoSpaceDE w:val="0"/>
      <w:autoSpaceDN w:val="0"/>
      <w:adjustRightInd w:val="0"/>
    </w:pPr>
    <w:rPr>
      <w:rFonts w:ascii="HelveticaNeueLT Std" w:hAnsi="HelveticaNeueLT Std" w:cs="HelveticaNeueLT Std"/>
      <w:color w:val="000000"/>
      <w:sz w:val="24"/>
      <w:szCs w:val="24"/>
    </w:rPr>
  </w:style>
  <w:style w:type="character" w:customStyle="1" w:styleId="A10">
    <w:name w:val="A10"/>
    <w:uiPriority w:val="99"/>
    <w:rsid w:val="006D69C1"/>
    <w:rPr>
      <w:rFonts w:cs="Myriad Pro Light"/>
      <w:b/>
      <w:bCs/>
      <w:color w:val="00498D"/>
      <w:sz w:val="22"/>
      <w:szCs w:val="22"/>
    </w:rPr>
  </w:style>
  <w:style w:type="paragraph" w:styleId="BalloonText">
    <w:name w:val="Balloon Text"/>
    <w:basedOn w:val="Normal"/>
    <w:link w:val="BalloonTextChar"/>
    <w:uiPriority w:val="99"/>
    <w:semiHidden/>
    <w:unhideWhenUsed/>
    <w:rsid w:val="000A3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E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Nicole Parton</cp:lastModifiedBy>
  <cp:revision>2</cp:revision>
  <dcterms:created xsi:type="dcterms:W3CDTF">2019-10-04T19:57:00Z</dcterms:created>
  <dcterms:modified xsi:type="dcterms:W3CDTF">2019-10-04T19:57:00Z</dcterms:modified>
</cp:coreProperties>
</file>