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A8" w:rsidRDefault="00B411A8" w:rsidP="00C977CA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-883920</wp:posOffset>
            </wp:positionV>
            <wp:extent cx="5943600" cy="1232535"/>
            <wp:effectExtent l="0" t="0" r="0" b="5715"/>
            <wp:wrapNone/>
            <wp:docPr id="1" name="Picture 1" descr="C:\Users\laneperry\AppData\Local\Microsoft\Windows\INetCache\Content.Word\Cntr-Community-Engage-ServL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eperry\AppData\Local\Microsoft\Windows\INetCache\Content.Word\Cntr-Community-Engage-ServL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7CA" w:rsidRPr="00C977CA" w:rsidRDefault="00C977CA" w:rsidP="00C977CA">
      <w:pPr>
        <w:jc w:val="center"/>
        <w:rPr>
          <w:rFonts w:cstheme="minorHAnsi"/>
          <w:b/>
          <w:sz w:val="28"/>
          <w:szCs w:val="28"/>
        </w:rPr>
      </w:pPr>
      <w:r w:rsidRPr="00C977CA">
        <w:rPr>
          <w:rFonts w:cstheme="minorHAnsi"/>
          <w:b/>
          <w:sz w:val="28"/>
          <w:szCs w:val="28"/>
        </w:rPr>
        <w:t>Standard Operating Procedure</w:t>
      </w:r>
      <w:r w:rsidR="00B411A8">
        <w:rPr>
          <w:rFonts w:cstheme="minorHAnsi"/>
          <w:b/>
          <w:sz w:val="28"/>
          <w:szCs w:val="28"/>
        </w:rPr>
        <w:t xml:space="preserve">: </w:t>
      </w:r>
      <w:r w:rsidRPr="00C977CA">
        <w:rPr>
          <w:rFonts w:cstheme="minorHAnsi"/>
          <w:b/>
          <w:sz w:val="28"/>
          <w:szCs w:val="28"/>
        </w:rPr>
        <w:t>Van Use to Prevent the Spread of COVID-19</w:t>
      </w:r>
    </w:p>
    <w:p w:rsidR="005D626B" w:rsidRDefault="00C977CA" w:rsidP="005D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7CA">
        <w:rPr>
          <w:rFonts w:cstheme="minorHAnsi"/>
        </w:rPr>
        <w:t xml:space="preserve">It is the responsibility of the person checking out the van to ensure compliance </w:t>
      </w:r>
      <w:r>
        <w:rPr>
          <w:rFonts w:cstheme="minorHAnsi"/>
        </w:rPr>
        <w:t xml:space="preserve">with the guidelines below. This </w:t>
      </w:r>
      <w:r w:rsidRPr="00C977CA">
        <w:rPr>
          <w:rFonts w:cstheme="minorHAnsi"/>
        </w:rPr>
        <w:t>document provides best practices to prevent the spread of COVID-19 and serv</w:t>
      </w:r>
      <w:r>
        <w:rPr>
          <w:rFonts w:cstheme="minorHAnsi"/>
        </w:rPr>
        <w:t xml:space="preserve">es as a contact tracing tool if </w:t>
      </w:r>
      <w:r w:rsidRPr="00C977CA">
        <w:rPr>
          <w:rFonts w:cstheme="minorHAnsi"/>
        </w:rPr>
        <w:t xml:space="preserve">necessary. </w:t>
      </w:r>
    </w:p>
    <w:p w:rsidR="005D626B" w:rsidRDefault="005D626B" w:rsidP="005D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411A8" w:rsidRPr="00B411A8" w:rsidRDefault="00C977CA" w:rsidP="00B411A8">
      <w:pPr>
        <w:autoSpaceDE w:val="0"/>
        <w:autoSpaceDN w:val="0"/>
        <w:adjustRightInd w:val="0"/>
        <w:spacing w:after="0" w:line="480" w:lineRule="auto"/>
        <w:rPr>
          <w:rFonts w:cstheme="minorHAnsi"/>
          <w:u w:val="single"/>
        </w:rPr>
      </w:pPr>
      <w:r w:rsidRPr="00C977CA">
        <w:rPr>
          <w:rFonts w:cstheme="minorHAnsi"/>
        </w:rPr>
        <w:t>Driver’s Name:</w:t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Pr="00C977CA">
        <w:rPr>
          <w:rFonts w:cstheme="minorHAnsi"/>
        </w:rPr>
        <w:t xml:space="preserve"> </w:t>
      </w:r>
      <w:r w:rsidR="00B411A8">
        <w:rPr>
          <w:rFonts w:cstheme="minorHAnsi"/>
        </w:rPr>
        <w:t>Van Number:</w:t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  <w:r w:rsidR="00B411A8">
        <w:rPr>
          <w:rFonts w:cstheme="minorHAnsi"/>
          <w:u w:val="single"/>
        </w:rPr>
        <w:tab/>
      </w:r>
    </w:p>
    <w:p w:rsidR="00C977CA" w:rsidRPr="00B411A8" w:rsidRDefault="00B411A8" w:rsidP="00B411A8">
      <w:pPr>
        <w:autoSpaceDE w:val="0"/>
        <w:autoSpaceDN w:val="0"/>
        <w:adjustRightInd w:val="0"/>
        <w:spacing w:after="0" w:line="480" w:lineRule="auto"/>
        <w:rPr>
          <w:rFonts w:cstheme="minorHAnsi"/>
          <w:u w:val="single"/>
        </w:rPr>
      </w:pPr>
      <w:r>
        <w:rPr>
          <w:rFonts w:cstheme="minorHAnsi"/>
        </w:rPr>
        <w:t>Driver’s License Number: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977CA" w:rsidRPr="00B411A8" w:rsidRDefault="00B411A8" w:rsidP="00B411A8">
      <w:pPr>
        <w:autoSpaceDE w:val="0"/>
        <w:autoSpaceDN w:val="0"/>
        <w:adjustRightInd w:val="0"/>
        <w:spacing w:after="0" w:line="480" w:lineRule="auto"/>
        <w:rPr>
          <w:rFonts w:cstheme="minorHAnsi"/>
          <w:u w:val="single"/>
        </w:rPr>
      </w:pPr>
      <w:r>
        <w:rPr>
          <w:rFonts w:cstheme="minorHAnsi"/>
        </w:rPr>
        <w:t>Brief Description of Use:</w:t>
      </w:r>
      <w:r w:rsidR="005D626B">
        <w:rPr>
          <w:rFonts w:cstheme="minorHAnsi"/>
          <w:u w:val="single"/>
        </w:rPr>
        <w:tab/>
      </w:r>
      <w:bookmarkStart w:id="0" w:name="_GoBack"/>
      <w:bookmarkEnd w:id="0"/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  <w:r w:rsidR="005D626B">
        <w:rPr>
          <w:rFonts w:cstheme="minorHAnsi"/>
          <w:u w:val="single"/>
        </w:rPr>
        <w:tab/>
      </w:r>
    </w:p>
    <w:p w:rsidR="00C977CA" w:rsidRPr="00C977CA" w:rsidRDefault="00C977CA" w:rsidP="00C977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977CA">
        <w:rPr>
          <w:rFonts w:cstheme="minorHAnsi"/>
          <w:b/>
          <w:bCs/>
        </w:rPr>
        <w:t>PPE Use</w:t>
      </w:r>
      <w:r w:rsidR="00B411A8">
        <w:rPr>
          <w:rFonts w:cstheme="minorHAnsi"/>
          <w:b/>
          <w:bCs/>
        </w:rPr>
        <w:t xml:space="preserve"> (Required)</w:t>
      </w:r>
    </w:p>
    <w:p w:rsidR="00490FB9" w:rsidRPr="005D626B" w:rsidRDefault="00C977CA" w:rsidP="005D62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7CA">
        <w:rPr>
          <w:rFonts w:cstheme="minorHAnsi"/>
        </w:rPr>
        <w:t xml:space="preserve">Face coverings are always required for the driver (even when alone) and all passengers in the vehicle. At the </w:t>
      </w:r>
      <w:r w:rsidRPr="00B411A8">
        <w:rPr>
          <w:rFonts w:cstheme="minorHAnsi"/>
        </w:rPr>
        <w:t>field</w:t>
      </w:r>
      <w:r w:rsidR="00B411A8" w:rsidRPr="00B411A8">
        <w:rPr>
          <w:rFonts w:cstheme="minorHAnsi"/>
        </w:rPr>
        <w:t xml:space="preserve"> or service</w:t>
      </w:r>
      <w:r w:rsidRPr="00B411A8">
        <w:rPr>
          <w:rFonts w:cstheme="minorHAnsi"/>
        </w:rPr>
        <w:t xml:space="preserve"> site, once unloaded and social distancing is met, face coverings are recommended.</w:t>
      </w:r>
    </w:p>
    <w:p w:rsidR="00490FB9" w:rsidRDefault="00490FB9" w:rsidP="00490FB9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b/>
          <w:bCs/>
          <w:sz w:val="22"/>
          <w:szCs w:val="22"/>
        </w:rPr>
        <w:t>Capacity</w:t>
      </w:r>
    </w:p>
    <w:p w:rsidR="00C977CA" w:rsidRPr="005D626B" w:rsidRDefault="00490FB9" w:rsidP="005D626B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While we do not have specific capacity limits in place we recommend limiting passengers </w:t>
      </w:r>
      <w:proofErr w:type="gramStart"/>
      <w:r>
        <w:rPr>
          <w:rFonts w:ascii="Calibri" w:hAnsi="Calibri" w:cs="Calibri"/>
          <w:sz w:val="22"/>
          <w:szCs w:val="22"/>
        </w:rPr>
        <w:t xml:space="preserve">in order </w:t>
      </w:r>
      <w:r>
        <w:rPr>
          <w:rFonts w:ascii="Calibri" w:hAnsi="Calibri" w:cs="Calibri"/>
          <w:sz w:val="22"/>
          <w:szCs w:val="22"/>
        </w:rPr>
        <w:t>to</w:t>
      </w:r>
      <w:proofErr w:type="gramEnd"/>
      <w:r>
        <w:rPr>
          <w:rFonts w:ascii="Calibri" w:hAnsi="Calibri" w:cs="Calibri"/>
          <w:sz w:val="22"/>
          <w:szCs w:val="22"/>
        </w:rPr>
        <w:t xml:space="preserve"> maintain physical distancing and prevent the spread of COVID</w:t>
      </w:r>
      <w:r w:rsidR="005D626B">
        <w:rPr>
          <w:rFonts w:ascii="Calibri" w:hAnsi="Calibri" w:cs="Calibri"/>
          <w:sz w:val="22"/>
          <w:szCs w:val="22"/>
        </w:rPr>
        <w:t>-19.</w:t>
      </w:r>
    </w:p>
    <w:p w:rsidR="00C977CA" w:rsidRPr="00C977CA" w:rsidRDefault="00C977CA" w:rsidP="00C977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11A8">
        <w:rPr>
          <w:rFonts w:cstheme="minorHAnsi"/>
          <w:b/>
          <w:bCs/>
        </w:rPr>
        <w:t>Disinfection</w:t>
      </w:r>
      <w:r w:rsidR="00B411A8">
        <w:rPr>
          <w:rFonts w:cstheme="minorHAnsi"/>
          <w:b/>
          <w:bCs/>
        </w:rPr>
        <w:t xml:space="preserve"> (Required)</w:t>
      </w:r>
    </w:p>
    <w:p w:rsidR="00C977CA" w:rsidRPr="00C977CA" w:rsidRDefault="00C977CA" w:rsidP="00C97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7CA">
        <w:rPr>
          <w:rFonts w:cstheme="minorHAnsi"/>
        </w:rPr>
        <w:t>After use, all high touch areas including the steering wheel, dashboard controls, a/c vents, door handles, seat belt buckles and keys are to be wiped down with the disinfectant wipes</w:t>
      </w:r>
      <w:r w:rsidR="00B411A8">
        <w:rPr>
          <w:rFonts w:cstheme="minorHAnsi"/>
        </w:rPr>
        <w:t xml:space="preserve"> and disinfectant spray</w:t>
      </w:r>
      <w:r w:rsidRPr="00C977CA">
        <w:rPr>
          <w:rFonts w:cstheme="minorHAnsi"/>
        </w:rPr>
        <w:t xml:space="preserve"> provided. It is recommended to disinfect the high touch areas prior to driving as well. </w:t>
      </w:r>
      <w:r w:rsidRPr="00E60AC2">
        <w:rPr>
          <w:rFonts w:cstheme="minorHAnsi"/>
        </w:rPr>
        <w:t>All shared field equipment is to be disinfected between participant use.</w:t>
      </w:r>
      <w:r w:rsidRPr="00C977CA">
        <w:rPr>
          <w:rFonts w:cstheme="minorHAnsi"/>
        </w:rPr>
        <w:t xml:space="preserve"> By signing this SOP, driver affirms this step will be completed.</w:t>
      </w:r>
      <w:r w:rsidR="00E60AC2">
        <w:rPr>
          <w:rFonts w:cstheme="minorHAnsi"/>
        </w:rPr>
        <w:t xml:space="preserve"> In between van uses a CCESL staff member will disinfect the van, thereby insuring three layers of security against COVID</w:t>
      </w:r>
      <w:r w:rsidR="005D626B">
        <w:rPr>
          <w:rFonts w:cstheme="minorHAnsi"/>
        </w:rPr>
        <w:t>-</w:t>
      </w:r>
      <w:r w:rsidR="00E60AC2">
        <w:rPr>
          <w:rFonts w:cstheme="minorHAnsi"/>
        </w:rPr>
        <w:t>19.</w:t>
      </w:r>
    </w:p>
    <w:p w:rsidR="00C977CA" w:rsidRDefault="00C977CA" w:rsidP="00C97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77CA">
        <w:rPr>
          <w:rFonts w:cstheme="minorHAnsi"/>
        </w:rPr>
        <w:t>Dispose of disinfectant wipes in the black bag provided, knot it and discard it in the trash receptacle near the building entrance. As a final step, disinfect your hands and thoroughly wash them when complete. Notify the Center if supplies are running low.</w:t>
      </w:r>
    </w:p>
    <w:p w:rsidR="00B411A8" w:rsidRDefault="00B411A8" w:rsidP="00C977C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Passengers</w:t>
      </w:r>
    </w:p>
    <w:p w:rsidR="00B411A8" w:rsidRPr="00B411A8" w:rsidRDefault="00B411A8" w:rsidP="00C97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list each person (faculty, staff, &amp;/or student) travelling in the van during your trip: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115"/>
        <w:gridCol w:w="2070"/>
        <w:gridCol w:w="1980"/>
      </w:tblGrid>
      <w:tr w:rsidR="005D626B" w:rsidTr="005D626B">
        <w:tc>
          <w:tcPr>
            <w:tcW w:w="6115" w:type="dxa"/>
            <w:shd w:val="clear" w:color="auto" w:fill="D0CECE" w:themeFill="background2" w:themeFillShade="E6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77CA">
              <w:rPr>
                <w:rFonts w:cstheme="minorHAnsi"/>
              </w:rPr>
              <w:t>PRINT NAME</w:t>
            </w:r>
            <w:r>
              <w:rPr>
                <w:rFonts w:cstheme="minorHAnsi"/>
              </w:rPr>
              <w:t xml:space="preserve"> (FIRST &amp; LAST)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77CA">
              <w:rPr>
                <w:rFonts w:cstheme="minorHAnsi"/>
              </w:rPr>
              <w:t>92#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5D626B" w:rsidRDefault="005D626B" w:rsidP="00C977C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77CA">
              <w:rPr>
                <w:rFonts w:cstheme="minorHAnsi"/>
              </w:rPr>
              <w:t>DATE</w:t>
            </w:r>
          </w:p>
        </w:tc>
      </w:tr>
      <w:tr w:rsidR="005D626B" w:rsidTr="005D626B">
        <w:tc>
          <w:tcPr>
            <w:tcW w:w="6115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D626B" w:rsidTr="005D626B">
        <w:tc>
          <w:tcPr>
            <w:tcW w:w="6115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070" w:type="dxa"/>
          </w:tcPr>
          <w:p w:rsidR="005D626B" w:rsidRPr="00C977CA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5D626B" w:rsidRDefault="005D626B" w:rsidP="00C97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C977CA" w:rsidRPr="005D626B" w:rsidRDefault="00C977CA" w:rsidP="005D626B">
      <w:pPr>
        <w:keepLines/>
        <w:tabs>
          <w:tab w:val="left" w:pos="2592"/>
        </w:tabs>
        <w:rPr>
          <w:rFonts w:cstheme="minorHAnsi"/>
          <w:sz w:val="2"/>
          <w:szCs w:val="2"/>
        </w:rPr>
      </w:pPr>
    </w:p>
    <w:sectPr w:rsidR="00C977CA" w:rsidRPr="005D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A"/>
    <w:rsid w:val="000E55B2"/>
    <w:rsid w:val="00264832"/>
    <w:rsid w:val="00371129"/>
    <w:rsid w:val="00490FB9"/>
    <w:rsid w:val="00595BB9"/>
    <w:rsid w:val="005D626B"/>
    <w:rsid w:val="006B23F4"/>
    <w:rsid w:val="006F3257"/>
    <w:rsid w:val="008D6DC3"/>
    <w:rsid w:val="009762FF"/>
    <w:rsid w:val="00B411A8"/>
    <w:rsid w:val="00C977CA"/>
    <w:rsid w:val="00E60AC2"/>
    <w:rsid w:val="00E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B3CB"/>
  <w15:chartTrackingRefBased/>
  <w15:docId w15:val="{69376F81-2473-48D8-8F17-DD1746A1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1737-0161-4DC1-8773-1B9F09D4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Garland</dc:creator>
  <cp:keywords/>
  <dc:description/>
  <cp:lastModifiedBy>Brian Garland</cp:lastModifiedBy>
  <cp:revision>2</cp:revision>
  <dcterms:created xsi:type="dcterms:W3CDTF">2021-08-11T15:06:00Z</dcterms:created>
  <dcterms:modified xsi:type="dcterms:W3CDTF">2021-08-11T15:06:00Z</dcterms:modified>
</cp:coreProperties>
</file>