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B4F3E" w14:textId="3FDB0F30" w:rsidR="001D5A34" w:rsidRDefault="000056EC"/>
    <w:p w14:paraId="75785CA4" w14:textId="385BFEAE" w:rsidR="000056EC" w:rsidRPr="00AC01E0" w:rsidRDefault="000056EC" w:rsidP="000056EC">
      <w:pPr>
        <w:pStyle w:val="Title"/>
        <w:pBdr>
          <w:bottom w:val="single" w:sz="12" w:space="1" w:color="auto"/>
        </w:pBdr>
        <w:rPr>
          <w:rFonts w:ascii="FreightSans Pro Book" w:hAnsi="FreightSans Pro Book"/>
          <w:b/>
          <w:bCs/>
        </w:rPr>
      </w:pPr>
      <w:r w:rsidRPr="00AC01E0">
        <w:rPr>
          <w:rFonts w:ascii="FreightSans Pro Book" w:hAnsi="FreightSans Pro Book"/>
          <w:b/>
          <w:bCs/>
        </w:rPr>
        <w:t xml:space="preserve">PRAXIS </w:t>
      </w:r>
      <w:r>
        <w:rPr>
          <w:rFonts w:ascii="FreightSans Pro Book" w:hAnsi="FreightSans Pro Book"/>
          <w:b/>
          <w:bCs/>
        </w:rPr>
        <w:t>II</w:t>
      </w:r>
      <w:r w:rsidRPr="00AC01E0">
        <w:rPr>
          <w:rFonts w:ascii="FreightSans Pro Book" w:hAnsi="FreightSans Pro Book"/>
          <w:b/>
          <w:bCs/>
        </w:rPr>
        <w:t xml:space="preserve"> STUDY RESOURCES</w:t>
      </w:r>
    </w:p>
    <w:p w14:paraId="587821DC" w14:textId="77777777" w:rsidR="000056EC" w:rsidRDefault="000056EC" w:rsidP="000056EC">
      <w:pPr>
        <w:rPr>
          <w:b/>
          <w:bCs/>
        </w:rPr>
      </w:pPr>
    </w:p>
    <w:p w14:paraId="1F2AD2A4" w14:textId="65F4FFBB" w:rsidR="000056EC" w:rsidRDefault="000056EC" w:rsidP="000056EC">
      <w:pPr>
        <w:rPr>
          <w:b/>
          <w:bCs/>
        </w:rPr>
      </w:pPr>
      <w:r w:rsidRPr="000056EC">
        <w:rPr>
          <w:b/>
          <w:bCs/>
        </w:rPr>
        <w:t xml:space="preserve">IMPORTANT: Always check the </w:t>
      </w:r>
      <w:hyperlink r:id="rId5" w:history="1">
        <w:r w:rsidRPr="000056EC">
          <w:rPr>
            <w:rStyle w:val="Hyperlink"/>
            <w:b/>
            <w:bCs/>
          </w:rPr>
          <w:t>NC Department of Public Instruction Licensure</w:t>
        </w:r>
      </w:hyperlink>
      <w:r w:rsidRPr="000056EC">
        <w:rPr>
          <w:b/>
          <w:bCs/>
        </w:rPr>
        <w:t xml:space="preserve"> page for the most current information and ensure the correct test selection.</w:t>
      </w:r>
    </w:p>
    <w:p w14:paraId="67B4CBFD" w14:textId="4B9DEA55" w:rsidR="000056EC" w:rsidRPr="000056EC" w:rsidRDefault="000056EC" w:rsidP="000056EC">
      <w:pPr>
        <w:pStyle w:val="ListParagraph"/>
        <w:numPr>
          <w:ilvl w:val="0"/>
          <w:numId w:val="1"/>
        </w:numPr>
        <w:pBdr>
          <w:bottom w:val="single" w:sz="12" w:space="1" w:color="auto"/>
        </w:pBdr>
        <w:spacing w:line="480" w:lineRule="auto"/>
        <w:rPr>
          <w:b/>
          <w:bCs/>
        </w:rPr>
      </w:pPr>
      <w:r>
        <w:rPr>
          <w:noProof/>
        </w:rPr>
        <mc:AlternateContent>
          <mc:Choice Requires="wps">
            <w:drawing>
              <wp:anchor distT="45720" distB="45720" distL="114300" distR="114300" simplePos="0" relativeHeight="251659264" behindDoc="1" locked="0" layoutInCell="1" allowOverlap="1" wp14:anchorId="7B84D89B" wp14:editId="29C58693">
                <wp:simplePos x="0" y="0"/>
                <wp:positionH relativeFrom="margin">
                  <wp:align>left</wp:align>
                </wp:positionH>
                <wp:positionV relativeFrom="paragraph">
                  <wp:posOffset>507365</wp:posOffset>
                </wp:positionV>
                <wp:extent cx="6096000" cy="638175"/>
                <wp:effectExtent l="0" t="0" r="19050" b="28575"/>
                <wp:wrapThrough wrapText="bothSides">
                  <wp:wrapPolygon edited="0">
                    <wp:start x="0" y="0"/>
                    <wp:lineTo x="0" y="21922"/>
                    <wp:lineTo x="21600" y="21922"/>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38175"/>
                        </a:xfrm>
                        <a:prstGeom prst="rect">
                          <a:avLst/>
                        </a:prstGeom>
                        <a:solidFill>
                          <a:srgbClr val="592C88"/>
                        </a:solidFill>
                        <a:ln w="9525">
                          <a:solidFill>
                            <a:srgbClr val="000000"/>
                          </a:solidFill>
                          <a:miter lim="800000"/>
                          <a:headEnd/>
                          <a:tailEnd/>
                        </a:ln>
                      </wps:spPr>
                      <wps:txbx>
                        <w:txbxContent>
                          <w:p w14:paraId="1C549872" w14:textId="40A2EDDB" w:rsidR="000056EC" w:rsidRPr="000056EC" w:rsidRDefault="000056EC" w:rsidP="000056EC">
                            <w:pPr>
                              <w:spacing w:before="100" w:beforeAutospacing="1" w:after="100" w:afterAutospacing="1" w:line="240" w:lineRule="auto"/>
                              <w:jc w:val="center"/>
                              <w:rPr>
                                <w:rFonts w:ascii="FreightSans Pro Bold" w:hAnsi="FreightSans Pro Bold"/>
                                <w:sz w:val="28"/>
                                <w:szCs w:val="28"/>
                              </w:rPr>
                            </w:pPr>
                            <w:hyperlink r:id="rId6" w:history="1">
                              <w:r w:rsidRPr="000056EC">
                                <w:rPr>
                                  <w:rStyle w:val="Hyperlink"/>
                                  <w:rFonts w:ascii="FreightSans Pro Bold" w:hAnsi="FreightSans Pro Bold"/>
                                  <w:sz w:val="28"/>
                                  <w:szCs w:val="28"/>
                                </w:rPr>
                                <w:t>Praxis</w:t>
                              </w:r>
                            </w:hyperlink>
                            <w:r w:rsidRPr="000056EC">
                              <w:rPr>
                                <w:rFonts w:ascii="FreightSans Pro Bold" w:hAnsi="FreightSans Pro Bold"/>
                                <w:sz w:val="28"/>
                                <w:szCs w:val="28"/>
                              </w:rPr>
                              <w:t xml:space="preserve"> </w:t>
                            </w:r>
                            <w:r w:rsidRPr="000056EC">
                              <w:rPr>
                                <w:rFonts w:ascii="FreightSans Pro Bold" w:hAnsi="FreightSans Pro Bold"/>
                                <w:color w:val="FFFFFF" w:themeColor="background1"/>
                                <w:sz w:val="28"/>
                                <w:szCs w:val="28"/>
                              </w:rPr>
                              <w:t>offers Study Companions covering over 130 Praxis tests, Interactive Practice Tests (IPTs), and all official Praxis test preparations 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4D89B" id="_x0000_t202" coordsize="21600,21600" o:spt="202" path="m,l,21600r21600,l21600,xe">
                <v:stroke joinstyle="miter"/>
                <v:path gradientshapeok="t" o:connecttype="rect"/>
              </v:shapetype>
              <v:shape id="Text Box 2" o:spid="_x0000_s1026" type="#_x0000_t202" style="position:absolute;left:0;text-align:left;margin-left:0;margin-top:39.95pt;width:480pt;height:50.2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" fillcolor="#592c88">
                <v:textbox>
                  <w:txbxContent>
                    <w:p w14:paraId="1C549872" w14:textId="40A2EDDB" w:rsidR="000056EC" w:rsidRPr="000056EC" w:rsidRDefault="000056EC" w:rsidP="000056EC">
                      <w:pPr>
                        <w:spacing w:before="100" w:beforeAutospacing="1" w:after="100" w:afterAutospacing="1" w:line="240" w:lineRule="auto"/>
                        <w:jc w:val="center"/>
                        <w:rPr>
                          <w:rFonts w:ascii="FreightSans Pro Bold" w:hAnsi="FreightSans Pro Bold"/>
                          <w:sz w:val="28"/>
                          <w:szCs w:val="28"/>
                        </w:rPr>
                      </w:pPr>
                      <w:hyperlink r:id="rId7" w:history="1">
                        <w:r w:rsidRPr="000056EC">
                          <w:rPr>
                            <w:rStyle w:val="Hyperlink"/>
                            <w:rFonts w:ascii="FreightSans Pro Bold" w:hAnsi="FreightSans Pro Bold"/>
                            <w:sz w:val="28"/>
                            <w:szCs w:val="28"/>
                          </w:rPr>
                          <w:t>Praxis</w:t>
                        </w:r>
                      </w:hyperlink>
                      <w:r w:rsidRPr="000056EC">
                        <w:rPr>
                          <w:rFonts w:ascii="FreightSans Pro Bold" w:hAnsi="FreightSans Pro Bold"/>
                          <w:sz w:val="28"/>
                          <w:szCs w:val="28"/>
                        </w:rPr>
                        <w:t xml:space="preserve"> </w:t>
                      </w:r>
                      <w:r w:rsidRPr="000056EC">
                        <w:rPr>
                          <w:rFonts w:ascii="FreightSans Pro Bold" w:hAnsi="FreightSans Pro Bold"/>
                          <w:color w:val="FFFFFF" w:themeColor="background1"/>
                          <w:sz w:val="28"/>
                          <w:szCs w:val="28"/>
                        </w:rPr>
                        <w:t>offers Study Companions covering over 130 Praxis tests, Interactive Practice Tests (IPTs), and all official Praxis test preparations materials.</w:t>
                      </w:r>
                    </w:p>
                  </w:txbxContent>
                </v:textbox>
                <w10:wrap type="through" anchorx="margin"/>
              </v:shape>
            </w:pict>
          </mc:Fallback>
        </mc:AlternateContent>
      </w:r>
      <w:hyperlink r:id="rId8" w:history="1">
        <w:r w:rsidRPr="000056EC">
          <w:rPr>
            <w:rStyle w:val="Hyperlink"/>
            <w:b/>
            <w:bCs/>
          </w:rPr>
          <w:t xml:space="preserve">North Carolina </w:t>
        </w:r>
        <w:r w:rsidRPr="000056EC">
          <w:rPr>
            <w:rStyle w:val="Hyperlink"/>
            <w:b/>
            <w:bCs/>
          </w:rPr>
          <w:t xml:space="preserve">Praxis </w:t>
        </w:r>
        <w:r w:rsidRPr="000056EC">
          <w:rPr>
            <w:rStyle w:val="Hyperlink"/>
            <w:b/>
            <w:bCs/>
          </w:rPr>
          <w:t>Test Requirements</w:t>
        </w:r>
      </w:hyperlink>
      <w:r>
        <w:rPr>
          <w:b/>
          <w:bCs/>
        </w:rPr>
        <w:t xml:space="preserve"> </w:t>
      </w:r>
    </w:p>
    <w:p w14:paraId="7CEB89BF" w14:textId="77777777" w:rsidR="000056EC" w:rsidRPr="000056EC" w:rsidRDefault="000056EC" w:rsidP="000056EC">
      <w:pPr>
        <w:pStyle w:val="Heading2"/>
        <w:rPr>
          <w:rFonts w:ascii="FreightSans Pro Bold" w:hAnsi="FreightSans Pro Bold"/>
          <w:b w:val="0"/>
          <w:bCs/>
          <w:color w:val="592C88"/>
          <w:szCs w:val="28"/>
        </w:rPr>
      </w:pPr>
      <w:r w:rsidRPr="000056EC">
        <w:rPr>
          <w:rFonts w:ascii="FreightSans Pro Bold" w:hAnsi="FreightSans Pro Bold"/>
          <w:b w:val="0"/>
          <w:bCs/>
          <w:color w:val="592C88"/>
          <w:szCs w:val="28"/>
        </w:rPr>
        <w:t>General Test-taking Strategies</w:t>
      </w:r>
    </w:p>
    <w:p w14:paraId="731070E0" w14:textId="4A0A1A87" w:rsidR="000056EC" w:rsidRPr="000056EC" w:rsidRDefault="000056EC" w:rsidP="000056EC">
      <w:pPr>
        <w:pStyle w:val="ListParagraph"/>
        <w:numPr>
          <w:ilvl w:val="0"/>
          <w:numId w:val="1"/>
        </w:numPr>
      </w:pPr>
      <w:hyperlink r:id="rId9" w:history="1">
        <w:r w:rsidRPr="000056EC">
          <w:rPr>
            <w:rStyle w:val="Hyperlink"/>
          </w:rPr>
          <w:t>Good Words &amp; Bad Words Strategy | Works on All Kinds of Exams | Kathleen Jasper</w:t>
        </w:r>
      </w:hyperlink>
    </w:p>
    <w:p w14:paraId="58C73164" w14:textId="77777777" w:rsidR="000056EC" w:rsidRPr="000056EC" w:rsidRDefault="000056EC" w:rsidP="000056EC">
      <w:pPr>
        <w:pStyle w:val="Heading1"/>
        <w:rPr>
          <w:rFonts w:ascii="FreightSans Pro Bold" w:hAnsi="FreightSans Pro Bold"/>
          <w:b/>
          <w:bCs/>
          <w:color w:val="592C88"/>
          <w:sz w:val="28"/>
          <w:szCs w:val="28"/>
        </w:rPr>
      </w:pPr>
      <w:r w:rsidRPr="000056EC">
        <w:rPr>
          <w:rFonts w:ascii="FreightSans Pro Bold" w:hAnsi="FreightSans Pro Bold"/>
          <w:b/>
          <w:bCs/>
          <w:color w:val="592C88"/>
          <w:sz w:val="28"/>
          <w:szCs w:val="28"/>
        </w:rPr>
        <w:t>Additional advice:</w:t>
      </w:r>
    </w:p>
    <w:p w14:paraId="6CBEB872" w14:textId="77777777" w:rsidR="000056EC" w:rsidRPr="000056EC" w:rsidRDefault="000056EC" w:rsidP="000056EC">
      <w:pPr>
        <w:pStyle w:val="Heading2"/>
        <w:rPr>
          <w:b w:val="0"/>
          <w:bCs/>
        </w:rPr>
      </w:pPr>
      <w:r w:rsidRPr="000056EC">
        <w:rPr>
          <w:b w:val="0"/>
          <w:bCs/>
        </w:rPr>
        <w:t>Art (K-12):</w:t>
      </w:r>
    </w:p>
    <w:p w14:paraId="6BB6D590" w14:textId="77777777" w:rsidR="000056EC" w:rsidRPr="000056EC" w:rsidRDefault="000056EC" w:rsidP="000056EC">
      <w:pPr>
        <w:rPr>
          <w:rFonts w:ascii="FreightSans Pro Book" w:hAnsi="FreightSans Pro Book"/>
          <w:sz w:val="24"/>
          <w:szCs w:val="24"/>
        </w:rPr>
      </w:pPr>
      <w:r w:rsidRPr="000056EC">
        <w:rPr>
          <w:rFonts w:ascii="FreightSans Pro Book" w:hAnsi="FreightSans Pro Book"/>
          <w:sz w:val="24"/>
          <w:szCs w:val="24"/>
        </w:rPr>
        <w:t xml:space="preserve">The Praxis II for Art Education focuses on basic art history AND basic understanding of art processes and materials. Much of the content will derive from ART 136 and ART 137, so review of those textbooks is highly recommended. Students will also be required to analyze some of your own </w:t>
      </w:r>
      <w:proofErr w:type="gramStart"/>
      <w:r w:rsidRPr="000056EC">
        <w:rPr>
          <w:rFonts w:ascii="FreightSans Pro Book" w:hAnsi="FreightSans Pro Book"/>
          <w:sz w:val="24"/>
          <w:szCs w:val="24"/>
        </w:rPr>
        <w:t>art work</w:t>
      </w:r>
      <w:proofErr w:type="gramEnd"/>
      <w:r w:rsidRPr="000056EC">
        <w:rPr>
          <w:rFonts w:ascii="FreightSans Pro Book" w:hAnsi="FreightSans Pro Book"/>
          <w:sz w:val="24"/>
          <w:szCs w:val="24"/>
        </w:rPr>
        <w:t xml:space="preserve"> via digital image (this is why students photograph and save images in methods classes!). Hunter Library has electronic study guides for Praxis II art exam available for checkout. A practice exam is given in ART463/563 to help identify students' areas of weakness.</w:t>
      </w:r>
    </w:p>
    <w:p w14:paraId="602BE1BB" w14:textId="77777777" w:rsidR="000056EC" w:rsidRPr="000056EC" w:rsidRDefault="000056EC" w:rsidP="000056EC">
      <w:pPr>
        <w:pStyle w:val="Heading3"/>
        <w:rPr>
          <w:rFonts w:ascii="FreightSans Pro Bold" w:hAnsi="FreightSans Pro Bold"/>
          <w:color w:val="auto"/>
        </w:rPr>
      </w:pPr>
      <w:r w:rsidRPr="000056EC">
        <w:rPr>
          <w:rFonts w:ascii="FreightSans Pro Bold" w:hAnsi="FreightSans Pro Bold"/>
          <w:color w:val="auto"/>
        </w:rPr>
        <w:t>Related Resources:</w:t>
      </w:r>
    </w:p>
    <w:p w14:paraId="0E7FBCD8" w14:textId="77777777" w:rsidR="000056EC" w:rsidRPr="000056EC" w:rsidRDefault="000056EC" w:rsidP="000056EC">
      <w:pPr>
        <w:ind w:left="720"/>
        <w:rPr>
          <w:rFonts w:ascii="FreightSans Pro Book" w:hAnsi="FreightSans Pro Book"/>
          <w:sz w:val="24"/>
          <w:szCs w:val="24"/>
        </w:rPr>
      </w:pPr>
      <w:hyperlink r:id="rId10" w:tgtFrame="_blank" w:history="1">
        <w:r w:rsidRPr="000056EC">
          <w:rPr>
            <w:rStyle w:val="Hyperlink"/>
            <w:rFonts w:ascii="FreightSans Pro Book" w:hAnsi="FreightSans Pro Book"/>
            <w:sz w:val="24"/>
            <w:szCs w:val="24"/>
          </w:rPr>
          <w:t xml:space="preserve">Learn about the structure of the test </w:t>
        </w:r>
      </w:hyperlink>
    </w:p>
    <w:p w14:paraId="557C7240" w14:textId="77777777" w:rsidR="000056EC" w:rsidRPr="000056EC" w:rsidRDefault="000056EC" w:rsidP="000056EC">
      <w:pPr>
        <w:ind w:left="720"/>
        <w:rPr>
          <w:rFonts w:ascii="FreightSans Pro Book" w:hAnsi="FreightSans Pro Book"/>
          <w:sz w:val="24"/>
          <w:szCs w:val="24"/>
        </w:rPr>
      </w:pPr>
      <w:hyperlink r:id="rId11" w:history="1">
        <w:r w:rsidRPr="000056EC">
          <w:rPr>
            <w:rStyle w:val="Hyperlink"/>
            <w:rFonts w:ascii="FreightSans Pro Book" w:hAnsi="FreightSans Pro Book"/>
            <w:sz w:val="24"/>
            <w:szCs w:val="24"/>
          </w:rPr>
          <w:t xml:space="preserve">Praxis II - Content Exam for Visual Art: Content and Analysis 5135 161 </w:t>
        </w:r>
      </w:hyperlink>
    </w:p>
    <w:p w14:paraId="2237DB8A" w14:textId="77777777" w:rsidR="000056EC" w:rsidRPr="000056EC" w:rsidRDefault="000056EC" w:rsidP="000056EC">
      <w:pPr>
        <w:ind w:left="720"/>
        <w:rPr>
          <w:rFonts w:ascii="FreightSans Pro Book" w:hAnsi="FreightSans Pro Book"/>
          <w:sz w:val="24"/>
          <w:szCs w:val="24"/>
        </w:rPr>
      </w:pPr>
      <w:hyperlink r:id="rId12" w:history="1">
        <w:r w:rsidRPr="000056EC">
          <w:rPr>
            <w:rStyle w:val="Hyperlink"/>
            <w:rFonts w:ascii="FreightSans Pro Book" w:hAnsi="FreightSans Pro Book"/>
            <w:sz w:val="24"/>
            <w:szCs w:val="24"/>
          </w:rPr>
          <w:t xml:space="preserve">Flashcard Machine: Art History </w:t>
        </w:r>
      </w:hyperlink>
      <w:hyperlink r:id="rId13" w:history="1">
        <w:r w:rsidRPr="000056EC">
          <w:rPr>
            <w:rStyle w:val="Hyperlink"/>
            <w:rFonts w:ascii="FreightSans Pro Book" w:hAnsi="FreightSans Pro Book"/>
            <w:sz w:val="24"/>
            <w:szCs w:val="24"/>
          </w:rPr>
          <w:t xml:space="preserve">Art History Course and Exam Description </w:t>
        </w:r>
      </w:hyperlink>
    </w:p>
    <w:p w14:paraId="53EE1240" w14:textId="77777777" w:rsidR="000056EC" w:rsidRPr="000056EC" w:rsidRDefault="000056EC" w:rsidP="000056EC">
      <w:pPr>
        <w:ind w:left="720"/>
        <w:rPr>
          <w:rFonts w:ascii="FreightSans Pro Book" w:hAnsi="FreightSans Pro Book"/>
          <w:sz w:val="24"/>
          <w:szCs w:val="24"/>
        </w:rPr>
      </w:pPr>
      <w:hyperlink r:id="rId14" w:history="1">
        <w:r w:rsidRPr="000056EC">
          <w:rPr>
            <w:rStyle w:val="Hyperlink"/>
            <w:rFonts w:ascii="FreightSans Pro Book" w:hAnsi="FreightSans Pro Book"/>
            <w:sz w:val="24"/>
            <w:szCs w:val="24"/>
          </w:rPr>
          <w:t xml:space="preserve">Art History Practice Exams </w:t>
        </w:r>
      </w:hyperlink>
    </w:p>
    <w:p w14:paraId="6F3F0846" w14:textId="77777777" w:rsidR="000056EC" w:rsidRPr="000056EC" w:rsidRDefault="000056EC" w:rsidP="000056EC">
      <w:pPr>
        <w:ind w:left="720"/>
        <w:rPr>
          <w:rFonts w:ascii="FreightSans Pro Book" w:hAnsi="FreightSans Pro Book"/>
          <w:sz w:val="24"/>
          <w:szCs w:val="24"/>
        </w:rPr>
      </w:pPr>
      <w:hyperlink r:id="rId15" w:history="1">
        <w:r w:rsidRPr="000056EC">
          <w:rPr>
            <w:rStyle w:val="Hyperlink"/>
            <w:rFonts w:ascii="FreightSans Pro Book" w:hAnsi="FreightSans Pro Book"/>
            <w:sz w:val="24"/>
            <w:szCs w:val="24"/>
          </w:rPr>
          <w:t>Study Art Vocabulary on NCSOS site</w:t>
        </w:r>
      </w:hyperlink>
    </w:p>
    <w:p w14:paraId="602D5C44" w14:textId="77777777" w:rsidR="000056EC" w:rsidRPr="000056EC" w:rsidRDefault="000056EC" w:rsidP="000056EC">
      <w:pPr>
        <w:pStyle w:val="Heading2"/>
      </w:pPr>
      <w:r w:rsidRPr="000056EC">
        <w:t>English (Secondary 9-12):</w:t>
      </w:r>
    </w:p>
    <w:p w14:paraId="473979D7" w14:textId="77777777" w:rsidR="000056EC" w:rsidRPr="000056EC" w:rsidRDefault="000056EC" w:rsidP="000056EC">
      <w:pPr>
        <w:rPr>
          <w:rFonts w:ascii="FreightSans Pro Book" w:hAnsi="FreightSans Pro Book"/>
          <w:sz w:val="24"/>
          <w:szCs w:val="24"/>
        </w:rPr>
      </w:pPr>
      <w:r w:rsidRPr="000056EC">
        <w:rPr>
          <w:rFonts w:ascii="FreightSans Pro Book" w:hAnsi="FreightSans Pro Book"/>
          <w:sz w:val="24"/>
          <w:szCs w:val="24"/>
        </w:rPr>
        <w:t>Program faculty have resources on hand and periodically offer study sessions to help student prepare for the Praxis II. Be sure to check with your program faculty about upcoming sessions!</w:t>
      </w:r>
    </w:p>
    <w:p w14:paraId="0303FE7B" w14:textId="77777777" w:rsidR="000056EC" w:rsidRPr="000056EC" w:rsidRDefault="000056EC" w:rsidP="000056EC">
      <w:pPr>
        <w:rPr>
          <w:rFonts w:ascii="FreightSans Pro Book" w:hAnsi="FreightSans Pro Book"/>
          <w:sz w:val="24"/>
          <w:szCs w:val="24"/>
        </w:rPr>
      </w:pPr>
      <w:r w:rsidRPr="000056EC">
        <w:rPr>
          <w:rStyle w:val="Heading2Char"/>
        </w:rPr>
        <w:lastRenderedPageBreak/>
        <w:t>Health and Physical Education:</w:t>
      </w:r>
      <w:r w:rsidRPr="000056EC">
        <w:rPr>
          <w:rFonts w:ascii="FreightSans Pro Book" w:hAnsi="FreightSans Pro Book"/>
          <w:sz w:val="24"/>
          <w:szCs w:val="24"/>
        </w:rPr>
        <w:br/>
        <w:t>Preparation should also include studying notes/writings/readings from the follow HPE program courses, which are especially applicable: HPE 235 Motor Behavior, HPE 355 Fitness Concepts, HPE 346 Dance and Gymnastics, HPE 223 Kinesiology, HPE 325 Risky Behaviors, HPE 350 Current Health Problems, HPE 255 Mental and Emotional Health, and HPE 360 Sexual Health.</w:t>
      </w:r>
    </w:p>
    <w:p w14:paraId="4B467233" w14:textId="77777777" w:rsidR="000056EC" w:rsidRPr="000056EC" w:rsidRDefault="000056EC" w:rsidP="000056EC">
      <w:pPr>
        <w:rPr>
          <w:rFonts w:ascii="FreightSans Pro Book" w:hAnsi="FreightSans Pro Book"/>
          <w:sz w:val="24"/>
          <w:szCs w:val="24"/>
        </w:rPr>
      </w:pPr>
      <w:hyperlink r:id="rId16" w:history="1">
        <w:r w:rsidRPr="000056EC">
          <w:rPr>
            <w:rStyle w:val="Hyperlink"/>
            <w:rFonts w:ascii="FreightSans Pro Book" w:hAnsi="FreightSans Pro Book"/>
            <w:sz w:val="24"/>
            <w:szCs w:val="24"/>
          </w:rPr>
          <w:t>HPE Praxis II Study Guide</w:t>
        </w:r>
      </w:hyperlink>
    </w:p>
    <w:p w14:paraId="6897ED3D" w14:textId="77777777" w:rsidR="000056EC" w:rsidRPr="000056EC" w:rsidRDefault="000056EC" w:rsidP="000056EC">
      <w:pPr>
        <w:rPr>
          <w:rFonts w:ascii="FreightSans Pro Book" w:hAnsi="FreightSans Pro Book"/>
          <w:sz w:val="24"/>
          <w:szCs w:val="24"/>
        </w:rPr>
      </w:pPr>
      <w:r w:rsidRPr="000056EC">
        <w:rPr>
          <w:rStyle w:val="Heading2Char"/>
        </w:rPr>
        <w:t>Music:</w:t>
      </w:r>
      <w:r w:rsidRPr="000056EC">
        <w:rPr>
          <w:rFonts w:ascii="FreightSans Pro Book" w:hAnsi="FreightSans Pro Book"/>
          <w:b/>
          <w:bCs/>
          <w:sz w:val="24"/>
          <w:szCs w:val="24"/>
        </w:rPr>
        <w:t xml:space="preserve"> </w:t>
      </w:r>
      <w:r w:rsidRPr="000056EC">
        <w:rPr>
          <w:rFonts w:ascii="FreightSans Pro Book" w:hAnsi="FreightSans Pro Book"/>
          <w:b/>
          <w:bCs/>
          <w:i/>
          <w:iCs/>
          <w:sz w:val="24"/>
          <w:szCs w:val="24"/>
        </w:rPr>
        <w:br/>
      </w:r>
      <w:r w:rsidRPr="000056EC">
        <w:rPr>
          <w:rFonts w:ascii="FreightSans Pro Book" w:hAnsi="FreightSans Pro Book"/>
          <w:sz w:val="24"/>
          <w:szCs w:val="24"/>
        </w:rPr>
        <w:t xml:space="preserve">Preparation should include studying notes/writings/readings from the following music education program courses, which are especially applicable: Music Theory III (MUS 318), Music History I (MUS 418) and II (MUS 419), Music in Elementary School (MUS 323), Music in Middle School (MUS 324), Instrumental/Choral Methods (MUS 326/327), Choral/Instrumental Conducting (MUS 428/429), and Orchestration (MUS 470). Music Essential Standards could also be useful: </w:t>
      </w:r>
      <w:hyperlink r:id="rId17" w:tgtFrame="_blank" w:history="1">
        <w:r w:rsidRPr="000056EC">
          <w:rPr>
            <w:rStyle w:val="Hyperlink"/>
            <w:rFonts w:ascii="FreightSans Pro Book" w:hAnsi="FreightSans Pro Book"/>
            <w:sz w:val="24"/>
            <w:szCs w:val="24"/>
          </w:rPr>
          <w:t>K-8</w:t>
        </w:r>
      </w:hyperlink>
      <w:r w:rsidRPr="000056EC">
        <w:rPr>
          <w:rFonts w:ascii="FreightSans Pro Book" w:hAnsi="FreightSans Pro Book"/>
          <w:sz w:val="24"/>
          <w:szCs w:val="24"/>
        </w:rPr>
        <w:t xml:space="preserve"> and </w:t>
      </w:r>
      <w:hyperlink r:id="rId18" w:tgtFrame="_blank" w:history="1">
        <w:r w:rsidRPr="000056EC">
          <w:rPr>
            <w:rStyle w:val="Hyperlink"/>
            <w:rFonts w:ascii="FreightSans Pro Book" w:hAnsi="FreightSans Pro Book"/>
            <w:sz w:val="24"/>
            <w:szCs w:val="24"/>
          </w:rPr>
          <w:t>9-12</w:t>
        </w:r>
      </w:hyperlink>
    </w:p>
    <w:p w14:paraId="27751E6B" w14:textId="43A1237A" w:rsidR="000056EC" w:rsidRPr="000056EC" w:rsidRDefault="000056EC" w:rsidP="000056EC">
      <w:pPr>
        <w:rPr>
          <w:rFonts w:ascii="FreightSans Pro Book" w:hAnsi="FreightSans Pro Book"/>
          <w:sz w:val="24"/>
          <w:szCs w:val="24"/>
        </w:rPr>
      </w:pPr>
      <w:hyperlink r:id="rId19" w:tgtFrame="_blank" w:history="1">
        <w:r w:rsidRPr="000056EC">
          <w:rPr>
            <w:rStyle w:val="Hyperlink"/>
            <w:rFonts w:ascii="FreightSans Pro Book" w:hAnsi="FreightSans Pro Book"/>
            <w:sz w:val="24"/>
            <w:szCs w:val="24"/>
          </w:rPr>
          <w:t xml:space="preserve">The University Library </w:t>
        </w:r>
        <w:r w:rsidRPr="000056EC">
          <w:rPr>
            <w:rStyle w:val="Hyperlink"/>
            <w:rFonts w:ascii="FreightSans Pro Book" w:hAnsi="FreightSans Pro Book"/>
            <w:sz w:val="24"/>
            <w:szCs w:val="24"/>
          </w:rPr>
          <w:t>Curriculum</w:t>
        </w:r>
        <w:r w:rsidRPr="000056EC">
          <w:rPr>
            <w:rStyle w:val="Hyperlink"/>
            <w:rFonts w:ascii="FreightSans Pro Book" w:hAnsi="FreightSans Pro Book"/>
            <w:sz w:val="24"/>
            <w:szCs w:val="24"/>
          </w:rPr>
          <w:t xml:space="preserve"> Materials Center (CMC)</w:t>
        </w:r>
      </w:hyperlink>
      <w:r w:rsidRPr="000056EC">
        <w:rPr>
          <w:rFonts w:ascii="FreightSans Pro Book" w:hAnsi="FreightSans Pro Book"/>
          <w:sz w:val="24"/>
          <w:szCs w:val="24"/>
        </w:rPr>
        <w:t xml:space="preserve"> also maintains a collection of teacher's editions of textbooks adopted by the NC DPI. Textbooks are available for check-out by students, faculty, and staff. The Learning Express Library offers online practice tests and tutorials for teaching exams. Just click on the resources you need. Any user will be required to register; however, access is free through WCU.</w:t>
      </w:r>
    </w:p>
    <w:p w14:paraId="7F4C772C" w14:textId="77777777" w:rsidR="000056EC" w:rsidRDefault="000056EC"/>
    <w:sectPr w:rsidR="00005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eightSans Pro Book">
    <w:panose1 w:val="02000606030000020004"/>
    <w:charset w:val="00"/>
    <w:family w:val="modern"/>
    <w:notTrueType/>
    <w:pitch w:val="variable"/>
    <w:sig w:usb0="A000002F" w:usb1="5000044B" w:usb2="00000000" w:usb3="00000000" w:csb0="00000093" w:csb1="00000000"/>
  </w:font>
  <w:font w:name="FreightSans Pro Bold">
    <w:panose1 w:val="02000803040000020004"/>
    <w:charset w:val="00"/>
    <w:family w:val="modern"/>
    <w:notTrueType/>
    <w:pitch w:val="variable"/>
    <w:sig w:usb0="A00000AF" w:usb1="500004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00604"/>
    <w:multiLevelType w:val="multilevel"/>
    <w:tmpl w:val="040A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752826"/>
    <w:multiLevelType w:val="hybridMultilevel"/>
    <w:tmpl w:val="CCFA479E"/>
    <w:lvl w:ilvl="0" w:tplc="D56C32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EC"/>
    <w:rsid w:val="000056EC"/>
    <w:rsid w:val="00156ACE"/>
    <w:rsid w:val="00325EDF"/>
    <w:rsid w:val="00EF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72C2"/>
  <w15:chartTrackingRefBased/>
  <w15:docId w15:val="{6D5998AC-EC15-44C1-A448-2B932DA3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56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56EC"/>
    <w:pPr>
      <w:keepNext/>
      <w:keepLines/>
      <w:spacing w:before="40" w:after="0"/>
      <w:outlineLvl w:val="1"/>
    </w:pPr>
    <w:rPr>
      <w:rFonts w:ascii="FreightSans Pro Book" w:eastAsiaTheme="majorEastAsia" w:hAnsi="FreightSans Pro Book" w:cstheme="majorBidi"/>
      <w:b/>
      <w:sz w:val="28"/>
      <w:szCs w:val="26"/>
    </w:rPr>
  </w:style>
  <w:style w:type="paragraph" w:styleId="Heading3">
    <w:name w:val="heading 3"/>
    <w:basedOn w:val="Normal"/>
    <w:next w:val="Normal"/>
    <w:link w:val="Heading3Char"/>
    <w:uiPriority w:val="9"/>
    <w:unhideWhenUsed/>
    <w:qFormat/>
    <w:rsid w:val="000056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6EC"/>
    <w:rPr>
      <w:color w:val="0563C1" w:themeColor="hyperlink"/>
      <w:u w:val="single"/>
    </w:rPr>
  </w:style>
  <w:style w:type="character" w:styleId="UnresolvedMention">
    <w:name w:val="Unresolved Mention"/>
    <w:basedOn w:val="DefaultParagraphFont"/>
    <w:uiPriority w:val="99"/>
    <w:semiHidden/>
    <w:unhideWhenUsed/>
    <w:rsid w:val="000056EC"/>
    <w:rPr>
      <w:color w:val="605E5C"/>
      <w:shd w:val="clear" w:color="auto" w:fill="E1DFDD"/>
    </w:rPr>
  </w:style>
  <w:style w:type="character" w:styleId="FollowedHyperlink">
    <w:name w:val="FollowedHyperlink"/>
    <w:basedOn w:val="DefaultParagraphFont"/>
    <w:uiPriority w:val="99"/>
    <w:semiHidden/>
    <w:unhideWhenUsed/>
    <w:rsid w:val="000056EC"/>
    <w:rPr>
      <w:color w:val="954F72" w:themeColor="followedHyperlink"/>
      <w:u w:val="single"/>
    </w:rPr>
  </w:style>
  <w:style w:type="paragraph" w:styleId="Title">
    <w:name w:val="Title"/>
    <w:basedOn w:val="Normal"/>
    <w:next w:val="Normal"/>
    <w:link w:val="TitleChar"/>
    <w:uiPriority w:val="10"/>
    <w:qFormat/>
    <w:rsid w:val="000056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56E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056EC"/>
    <w:pPr>
      <w:ind w:left="720"/>
      <w:contextualSpacing/>
    </w:pPr>
  </w:style>
  <w:style w:type="character" w:customStyle="1" w:styleId="Heading2Char">
    <w:name w:val="Heading 2 Char"/>
    <w:basedOn w:val="DefaultParagraphFont"/>
    <w:link w:val="Heading2"/>
    <w:uiPriority w:val="9"/>
    <w:rsid w:val="000056EC"/>
    <w:rPr>
      <w:rFonts w:ascii="FreightSans Pro Book" w:eastAsiaTheme="majorEastAsia" w:hAnsi="FreightSans Pro Book" w:cstheme="majorBidi"/>
      <w:b/>
      <w:sz w:val="28"/>
      <w:szCs w:val="26"/>
    </w:rPr>
  </w:style>
  <w:style w:type="character" w:customStyle="1" w:styleId="Heading1Char">
    <w:name w:val="Heading 1 Char"/>
    <w:basedOn w:val="DefaultParagraphFont"/>
    <w:link w:val="Heading1"/>
    <w:uiPriority w:val="9"/>
    <w:rsid w:val="000056E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0056E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2023">
      <w:bodyDiv w:val="1"/>
      <w:marLeft w:val="0"/>
      <w:marRight w:val="0"/>
      <w:marTop w:val="0"/>
      <w:marBottom w:val="0"/>
      <w:divBdr>
        <w:top w:val="none" w:sz="0" w:space="0" w:color="auto"/>
        <w:left w:val="none" w:sz="0" w:space="0" w:color="auto"/>
        <w:bottom w:val="none" w:sz="0" w:space="0" w:color="auto"/>
        <w:right w:val="none" w:sz="0" w:space="0" w:color="auto"/>
      </w:divBdr>
    </w:div>
    <w:div w:id="240020809">
      <w:bodyDiv w:val="1"/>
      <w:marLeft w:val="0"/>
      <w:marRight w:val="0"/>
      <w:marTop w:val="0"/>
      <w:marBottom w:val="0"/>
      <w:divBdr>
        <w:top w:val="none" w:sz="0" w:space="0" w:color="auto"/>
        <w:left w:val="none" w:sz="0" w:space="0" w:color="auto"/>
        <w:bottom w:val="none" w:sz="0" w:space="0" w:color="auto"/>
        <w:right w:val="none" w:sz="0" w:space="0" w:color="auto"/>
      </w:divBdr>
    </w:div>
    <w:div w:id="969819549">
      <w:bodyDiv w:val="1"/>
      <w:marLeft w:val="0"/>
      <w:marRight w:val="0"/>
      <w:marTop w:val="0"/>
      <w:marBottom w:val="0"/>
      <w:divBdr>
        <w:top w:val="none" w:sz="0" w:space="0" w:color="auto"/>
        <w:left w:val="none" w:sz="0" w:space="0" w:color="auto"/>
        <w:bottom w:val="none" w:sz="0" w:space="0" w:color="auto"/>
        <w:right w:val="none" w:sz="0" w:space="0" w:color="auto"/>
      </w:divBdr>
    </w:div>
    <w:div w:id="125193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org/praxis/nc/requirements" TargetMode="External"/><Relationship Id="rId13" Type="http://schemas.openxmlformats.org/officeDocument/2006/relationships/hyperlink" Target="https://secure-media.collegeboard.org/digitalServices/pdf/ap/ap-art-history-course-and-exam-description.pdf" TargetMode="External"/><Relationship Id="rId18" Type="http://schemas.openxmlformats.org/officeDocument/2006/relationships/hyperlink" Target="http://www.ncpublicschools.org/docs/curriculum/artsed/scos/new-standards/arts/music/9-12.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ts.org/praxis/prepare/materials" TargetMode="External"/><Relationship Id="rId12" Type="http://schemas.openxmlformats.org/officeDocument/2006/relationships/hyperlink" Target="https://www.flashcardmachine.com/art-history.html" TargetMode="External"/><Relationship Id="rId17" Type="http://schemas.openxmlformats.org/officeDocument/2006/relationships/hyperlink" Target="http://www.ncpublicschools.org/docs/curriculum/artsed/scos/new-standards/arts/music/k-8.pdf" TargetMode="External"/><Relationship Id="rId2" Type="http://schemas.openxmlformats.org/officeDocument/2006/relationships/styles" Target="styles.xml"/><Relationship Id="rId16" Type="http://schemas.openxmlformats.org/officeDocument/2006/relationships/hyperlink" Target="%7b%7bf:39505229%7d%7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ts.org/praxis/prepare/materials" TargetMode="External"/><Relationship Id="rId11" Type="http://schemas.openxmlformats.org/officeDocument/2006/relationships/hyperlink" Target="https://www.ets.org/praxis/prepare/materials/5135" TargetMode="External"/><Relationship Id="rId5" Type="http://schemas.openxmlformats.org/officeDocument/2006/relationships/hyperlink" Target="https://www.dpi.nc.gov/educators/educators-licensure" TargetMode="External"/><Relationship Id="rId15" Type="http://schemas.openxmlformats.org/officeDocument/2006/relationships/hyperlink" Target="http://www.ncpublicschools.org/docs/curriculum/artsed/scos/support-tools/glossary/visual.pdf" TargetMode="External"/><Relationship Id="rId10" Type="http://schemas.openxmlformats.org/officeDocument/2006/relationships/hyperlink" Target="https://www.ets.org/s/praxis/pdf/5135.pdf" TargetMode="External"/><Relationship Id="rId19" Type="http://schemas.openxmlformats.org/officeDocument/2006/relationships/hyperlink" Target="https://researchguides.wcu.edu/education/cmc" TargetMode="External"/><Relationship Id="rId4" Type="http://schemas.openxmlformats.org/officeDocument/2006/relationships/webSettings" Target="webSettings.xml"/><Relationship Id="rId9" Type="http://schemas.openxmlformats.org/officeDocument/2006/relationships/hyperlink" Target="https://youtu.be/lEPQYDRTdgY" TargetMode="External"/><Relationship Id="rId14" Type="http://schemas.openxmlformats.org/officeDocument/2006/relationships/hyperlink" Target="https://www.varsitytutors.com/ap_art_history-practice-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571</Words>
  <Characters>3181</Characters>
  <Application>Microsoft Office Word</Application>
  <DocSecurity>0</DocSecurity>
  <Lines>64</Lines>
  <Paragraphs>39</Paragraphs>
  <ScaleCrop>false</ScaleCrop>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Chapman</dc:creator>
  <cp:keywords/>
  <dc:description/>
  <cp:lastModifiedBy>Amanda Chapman</cp:lastModifiedBy>
  <cp:revision>1</cp:revision>
  <dcterms:created xsi:type="dcterms:W3CDTF">2022-06-22T20:16:00Z</dcterms:created>
  <dcterms:modified xsi:type="dcterms:W3CDTF">2022-06-22T20:24:00Z</dcterms:modified>
</cp:coreProperties>
</file>