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EAFF" w14:textId="41302725" w:rsidR="0076662D" w:rsidRDefault="0076662D" w:rsidP="0076662D">
      <w:pPr>
        <w:spacing w:line="276" w:lineRule="auto"/>
        <w:jc w:val="center"/>
        <w:rPr>
          <w:rFonts w:asciiTheme="minorHAnsi" w:hAnsiTheme="minorHAnsi" w:cstheme="minorHAnsi"/>
          <w:b/>
          <w:bCs/>
          <w:color w:val="231F20"/>
        </w:rPr>
      </w:pPr>
      <w:r w:rsidRPr="0076662D">
        <w:rPr>
          <w:rFonts w:asciiTheme="minorHAnsi" w:hAnsiTheme="minorHAnsi" w:cstheme="minorHAnsi"/>
          <w:b/>
          <w:bCs/>
          <w:color w:val="231F20"/>
        </w:rPr>
        <w:t>CALM APP RESOURCES</w:t>
      </w:r>
    </w:p>
    <w:p w14:paraId="6F5A7E98" w14:textId="77777777" w:rsidR="0076662D" w:rsidRPr="0076662D" w:rsidRDefault="0076662D" w:rsidP="0076662D">
      <w:pPr>
        <w:spacing w:line="276" w:lineRule="auto"/>
        <w:jc w:val="center"/>
        <w:rPr>
          <w:rFonts w:asciiTheme="minorHAnsi" w:hAnsiTheme="minorHAnsi" w:cstheme="minorHAnsi"/>
          <w:b/>
          <w:bCs/>
          <w:color w:val="231F20"/>
        </w:rPr>
      </w:pPr>
    </w:p>
    <w:p w14:paraId="7A32E5E1" w14:textId="17A10470" w:rsidR="0076662D" w:rsidRPr="0076662D" w:rsidRDefault="0076662D" w:rsidP="0076662D">
      <w:pPr>
        <w:spacing w:line="276" w:lineRule="auto"/>
        <w:rPr>
          <w:rFonts w:asciiTheme="minorHAnsi" w:hAnsiTheme="minorHAnsi" w:cstheme="minorHAnsi"/>
          <w:color w:val="231F20"/>
        </w:rPr>
      </w:pPr>
      <w:r w:rsidRPr="0076662D">
        <w:rPr>
          <w:rFonts w:asciiTheme="minorHAnsi" w:hAnsiTheme="minorHAnsi" w:cstheme="minorHAnsi"/>
          <w:color w:val="231F20"/>
        </w:rPr>
        <w:t>Belongingness initiatives are important to us as we understand that employees can often face microaggressions, unconscious biases, lack of psychological safety, and more. All of which can impact their mental health and work performance. </w:t>
      </w:r>
    </w:p>
    <w:p w14:paraId="253A2F3D" w14:textId="77777777" w:rsidR="0076662D" w:rsidRPr="0076662D" w:rsidRDefault="0076662D" w:rsidP="0076662D">
      <w:pPr>
        <w:spacing w:line="276" w:lineRule="auto"/>
        <w:rPr>
          <w:rFonts w:asciiTheme="minorHAnsi" w:hAnsiTheme="minorHAnsi" w:cstheme="minorHAnsi"/>
          <w:color w:val="231F20"/>
        </w:rPr>
      </w:pPr>
    </w:p>
    <w:p w14:paraId="0DA9F096" w14:textId="77777777" w:rsidR="0076662D" w:rsidRPr="0076662D" w:rsidRDefault="0076662D" w:rsidP="0076662D">
      <w:pPr>
        <w:spacing w:line="276" w:lineRule="auto"/>
        <w:rPr>
          <w:rFonts w:asciiTheme="minorHAnsi" w:hAnsiTheme="minorHAnsi" w:cstheme="minorHAnsi"/>
          <w:color w:val="231F20"/>
        </w:rPr>
      </w:pPr>
      <w:r w:rsidRPr="0076662D">
        <w:rPr>
          <w:rFonts w:asciiTheme="minorHAnsi" w:hAnsiTheme="minorHAnsi" w:cstheme="minorHAnsi"/>
          <w:color w:val="231F20"/>
        </w:rPr>
        <w:t xml:space="preserve">We believe we have the duty to not only support </w:t>
      </w:r>
      <w:proofErr w:type="gramStart"/>
      <w:r w:rsidRPr="0076662D">
        <w:rPr>
          <w:rFonts w:asciiTheme="minorHAnsi" w:hAnsiTheme="minorHAnsi" w:cstheme="minorHAnsi"/>
          <w:color w:val="231F20"/>
        </w:rPr>
        <w:t>our  workforce</w:t>
      </w:r>
      <w:proofErr w:type="gramEnd"/>
      <w:r w:rsidRPr="0076662D">
        <w:rPr>
          <w:rFonts w:asciiTheme="minorHAnsi" w:hAnsiTheme="minorHAnsi" w:cstheme="minorHAnsi"/>
          <w:color w:val="231F20"/>
        </w:rPr>
        <w:t xml:space="preserve"> with culturally relevant mental health resources but also to educate the wider organization in being more cognizant of the role we play in each other’s work life. At the end of the day, we want to ensure we’re collectively creating a safe and welcoming environment for all where unique perspectives are valued and respected. </w:t>
      </w:r>
    </w:p>
    <w:p w14:paraId="4B7F6A1B" w14:textId="77777777" w:rsidR="0076662D" w:rsidRPr="0076662D" w:rsidRDefault="0076662D" w:rsidP="0076662D">
      <w:pPr>
        <w:spacing w:line="276" w:lineRule="auto"/>
        <w:rPr>
          <w:rFonts w:asciiTheme="minorHAnsi" w:hAnsiTheme="minorHAnsi" w:cstheme="minorHAnsi"/>
          <w:color w:val="231F20"/>
        </w:rPr>
      </w:pPr>
    </w:p>
    <w:p w14:paraId="72166FD0" w14:textId="77777777" w:rsidR="0076662D" w:rsidRPr="0076662D" w:rsidRDefault="0076662D" w:rsidP="0076662D">
      <w:pPr>
        <w:spacing w:line="276" w:lineRule="auto"/>
        <w:rPr>
          <w:rFonts w:asciiTheme="minorHAnsi" w:hAnsiTheme="minorHAnsi" w:cstheme="minorHAnsi"/>
          <w:color w:val="231F20"/>
        </w:rPr>
      </w:pPr>
      <w:r w:rsidRPr="0076662D">
        <w:rPr>
          <w:rFonts w:asciiTheme="minorHAnsi" w:hAnsiTheme="minorHAnsi" w:cstheme="minorHAnsi"/>
          <w:color w:val="231F20"/>
        </w:rPr>
        <w:t>Calm, our mental health partner, has curated the following resources to help us further our goal of creating a culture of belonging at WCU. </w:t>
      </w:r>
    </w:p>
    <w:p w14:paraId="61CC6EE1" w14:textId="77777777" w:rsidR="0076662D" w:rsidRPr="0076662D" w:rsidRDefault="0076662D" w:rsidP="0076662D">
      <w:pPr>
        <w:spacing w:before="100" w:beforeAutospacing="1" w:after="100" w:afterAutospacing="1"/>
        <w:rPr>
          <w:rFonts w:asciiTheme="minorHAnsi" w:hAnsiTheme="minorHAnsi" w:cstheme="minorHAnsi"/>
        </w:rPr>
      </w:pPr>
      <w:hyperlink r:id="rId5" w:history="1">
        <w:r w:rsidRPr="0076662D">
          <w:rPr>
            <w:rStyle w:val="Hyperlink"/>
            <w:rFonts w:asciiTheme="minorHAnsi" w:hAnsiTheme="minorHAnsi" w:cstheme="minorHAnsi"/>
            <w:color w:val="0000FF"/>
          </w:rPr>
          <w:t>Kindness at Work</w:t>
        </w:r>
      </w:hyperlink>
    </w:p>
    <w:p w14:paraId="7AC6925D" w14:textId="350A5E51" w:rsidR="0076662D" w:rsidRPr="0076662D" w:rsidRDefault="0076662D" w:rsidP="0076662D">
      <w:pPr>
        <w:pStyle w:val="ListParagraph"/>
        <w:numPr>
          <w:ilvl w:val="0"/>
          <w:numId w:val="6"/>
        </w:numPr>
        <w:tabs>
          <w:tab w:val="left" w:pos="270"/>
        </w:tabs>
        <w:spacing w:line="276" w:lineRule="auto"/>
        <w:rPr>
          <w:rFonts w:asciiTheme="minorHAnsi" w:hAnsiTheme="minorHAnsi" w:cstheme="minorHAnsi"/>
          <w:color w:val="231F20"/>
        </w:rPr>
      </w:pPr>
      <w:r w:rsidRPr="0076662D">
        <w:rPr>
          <w:rFonts w:asciiTheme="minorHAnsi" w:hAnsiTheme="minorHAnsi" w:cstheme="minorHAnsi"/>
          <w:color w:val="231F20"/>
        </w:rPr>
        <w:t>This 11-minute session, led by Tamara Levitt, guides you through a</w:t>
      </w:r>
      <w:r w:rsidRPr="0076662D">
        <w:rPr>
          <w:rFonts w:asciiTheme="minorHAnsi" w:hAnsiTheme="minorHAnsi" w:cstheme="minorHAnsi"/>
          <w:color w:val="231F20"/>
        </w:rPr>
        <w:t xml:space="preserve"> </w:t>
      </w:r>
      <w:r w:rsidRPr="0076662D">
        <w:rPr>
          <w:rFonts w:asciiTheme="minorHAnsi" w:hAnsiTheme="minorHAnsi" w:cstheme="minorHAnsi"/>
          <w:color w:val="231F20"/>
        </w:rPr>
        <w:t>kindness practice toward your colleagues and shares the impact of extending warmth toward every colleague you interact with.</w:t>
      </w:r>
    </w:p>
    <w:p w14:paraId="2EE9F7D1" w14:textId="77777777" w:rsidR="0076662D" w:rsidRPr="0076662D" w:rsidRDefault="0076662D" w:rsidP="0076662D">
      <w:pPr>
        <w:spacing w:before="100" w:beforeAutospacing="1" w:after="100" w:afterAutospacing="1"/>
        <w:rPr>
          <w:rFonts w:asciiTheme="minorHAnsi" w:hAnsiTheme="minorHAnsi" w:cstheme="minorHAnsi"/>
        </w:rPr>
      </w:pPr>
      <w:hyperlink r:id="rId6" w:history="1">
        <w:r w:rsidRPr="0076662D">
          <w:rPr>
            <w:rStyle w:val="Hyperlink"/>
            <w:rFonts w:asciiTheme="minorHAnsi" w:hAnsiTheme="minorHAnsi" w:cstheme="minorHAnsi"/>
            <w:color w:val="0000FF"/>
          </w:rPr>
          <w:t>Mindful Leadership Series</w:t>
        </w:r>
      </w:hyperlink>
    </w:p>
    <w:p w14:paraId="60D4D47B" w14:textId="77777777" w:rsidR="0076662D" w:rsidRPr="0076662D" w:rsidRDefault="0076662D" w:rsidP="0076662D">
      <w:pPr>
        <w:numPr>
          <w:ilvl w:val="0"/>
          <w:numId w:val="2"/>
        </w:numPr>
        <w:spacing w:before="100" w:beforeAutospacing="1" w:after="100" w:afterAutospacing="1"/>
        <w:rPr>
          <w:rFonts w:asciiTheme="minorHAnsi" w:eastAsia="Times New Roman" w:hAnsiTheme="minorHAnsi" w:cstheme="minorHAnsi"/>
        </w:rPr>
      </w:pPr>
      <w:hyperlink r:id="rId7" w:history="1">
        <w:r w:rsidRPr="0076662D">
          <w:rPr>
            <w:rStyle w:val="Hyperlink"/>
            <w:rFonts w:asciiTheme="minorHAnsi" w:eastAsia="Times New Roman" w:hAnsiTheme="minorHAnsi" w:cstheme="minorHAnsi"/>
            <w:color w:val="0000FF"/>
          </w:rPr>
          <w:t>Cultivating a Learning Mindset</w:t>
        </w:r>
      </w:hyperlink>
      <w:r w:rsidRPr="0076662D">
        <w:rPr>
          <w:rFonts w:asciiTheme="minorHAnsi" w:eastAsia="Times New Roman" w:hAnsiTheme="minorHAnsi" w:cstheme="minorHAnsi"/>
        </w:rPr>
        <w:t xml:space="preserve"> </w:t>
      </w:r>
    </w:p>
    <w:p w14:paraId="5FE85E6E" w14:textId="77777777" w:rsidR="0076662D" w:rsidRPr="0076662D" w:rsidRDefault="0076662D" w:rsidP="0076662D">
      <w:pPr>
        <w:pStyle w:val="ListParagraph"/>
        <w:numPr>
          <w:ilvl w:val="0"/>
          <w:numId w:val="1"/>
        </w:numPr>
        <w:spacing w:line="276" w:lineRule="auto"/>
        <w:ind w:left="1080"/>
        <w:rPr>
          <w:rFonts w:asciiTheme="minorHAnsi" w:hAnsiTheme="minorHAnsi" w:cstheme="minorHAnsi"/>
          <w:color w:val="231F20"/>
        </w:rPr>
      </w:pPr>
      <w:r w:rsidRPr="0076662D">
        <w:rPr>
          <w:rFonts w:asciiTheme="minorHAnsi" w:hAnsiTheme="minorHAnsi" w:cstheme="minorHAnsi"/>
          <w:color w:val="231F20"/>
        </w:rPr>
        <w:t>In this 8-minute session, led by Megan Reitz, you'll practice a comprehensive awareness exercise to help you develop your sense of curiosity in others.</w:t>
      </w:r>
    </w:p>
    <w:p w14:paraId="707B8371" w14:textId="77777777" w:rsidR="0076662D" w:rsidRPr="0076662D" w:rsidRDefault="0076662D" w:rsidP="0076662D">
      <w:pPr>
        <w:numPr>
          <w:ilvl w:val="0"/>
          <w:numId w:val="2"/>
        </w:numPr>
        <w:spacing w:before="100" w:beforeAutospacing="1" w:after="100" w:afterAutospacing="1"/>
        <w:rPr>
          <w:rFonts w:asciiTheme="minorHAnsi" w:eastAsia="Times New Roman" w:hAnsiTheme="minorHAnsi" w:cstheme="minorHAnsi"/>
        </w:rPr>
      </w:pPr>
      <w:hyperlink r:id="rId8" w:history="1">
        <w:r w:rsidRPr="0076662D">
          <w:rPr>
            <w:rStyle w:val="Hyperlink"/>
            <w:rFonts w:asciiTheme="minorHAnsi" w:eastAsia="Times New Roman" w:hAnsiTheme="minorHAnsi" w:cstheme="minorHAnsi"/>
            <w:color w:val="0000FF"/>
          </w:rPr>
          <w:t>Preparing to Listen </w:t>
        </w:r>
      </w:hyperlink>
      <w:r w:rsidRPr="0076662D">
        <w:rPr>
          <w:rFonts w:asciiTheme="minorHAnsi" w:eastAsia="Times New Roman" w:hAnsiTheme="minorHAnsi" w:cstheme="minorHAnsi"/>
        </w:rPr>
        <w:t xml:space="preserve"> </w:t>
      </w:r>
    </w:p>
    <w:p w14:paraId="4D6E6BF4" w14:textId="77777777" w:rsidR="0076662D" w:rsidRPr="0076662D" w:rsidRDefault="0076662D" w:rsidP="0076662D">
      <w:pPr>
        <w:pStyle w:val="ListParagraph"/>
        <w:numPr>
          <w:ilvl w:val="0"/>
          <w:numId w:val="1"/>
        </w:numPr>
        <w:spacing w:line="276" w:lineRule="auto"/>
        <w:ind w:left="1709"/>
        <w:rPr>
          <w:rFonts w:asciiTheme="minorHAnsi" w:hAnsiTheme="minorHAnsi" w:cstheme="minorHAnsi"/>
          <w:color w:val="231F20"/>
        </w:rPr>
      </w:pPr>
      <w:r w:rsidRPr="0076662D">
        <w:rPr>
          <w:rFonts w:asciiTheme="minorHAnsi" w:hAnsiTheme="minorHAnsi" w:cstheme="minorHAnsi"/>
          <w:color w:val="231F20"/>
        </w:rPr>
        <w:t>In this 6-minute session, led by Megan Reitz, you'll learn to strengthen your listening skills so you can create a space that's safe for others to speak up.</w:t>
      </w:r>
    </w:p>
    <w:p w14:paraId="20304AAE" w14:textId="77777777" w:rsidR="0076662D" w:rsidRPr="0076662D" w:rsidRDefault="0076662D" w:rsidP="0076662D">
      <w:pPr>
        <w:spacing w:before="100" w:beforeAutospacing="1" w:after="100" w:afterAutospacing="1"/>
        <w:rPr>
          <w:rFonts w:asciiTheme="minorHAnsi" w:hAnsiTheme="minorHAnsi" w:cstheme="minorHAnsi"/>
        </w:rPr>
      </w:pPr>
      <w:hyperlink r:id="rId9" w:history="1">
        <w:r w:rsidRPr="0076662D">
          <w:rPr>
            <w:rStyle w:val="Hyperlink"/>
            <w:rFonts w:asciiTheme="minorHAnsi" w:hAnsiTheme="minorHAnsi" w:cstheme="minorHAnsi"/>
            <w:color w:val="0000FF"/>
          </w:rPr>
          <w:t>Meaningful Practices for Meaningful Friendships</w:t>
        </w:r>
      </w:hyperlink>
    </w:p>
    <w:p w14:paraId="77ADC348" w14:textId="77777777" w:rsidR="0076662D" w:rsidRPr="0076662D" w:rsidRDefault="0076662D" w:rsidP="0076662D">
      <w:pPr>
        <w:pStyle w:val="ListParagraph"/>
        <w:numPr>
          <w:ilvl w:val="8"/>
          <w:numId w:val="1"/>
        </w:numPr>
        <w:ind w:left="720"/>
        <w:rPr>
          <w:rFonts w:asciiTheme="minorHAnsi" w:hAnsiTheme="minorHAnsi" w:cstheme="minorHAnsi"/>
        </w:rPr>
      </w:pPr>
      <w:r w:rsidRPr="0076662D">
        <w:rPr>
          <w:rFonts w:asciiTheme="minorHAnsi" w:hAnsiTheme="minorHAnsi" w:cstheme="minorHAnsi"/>
        </w:rPr>
        <w:t xml:space="preserve">In this guided meditation series led by Kate Johnson, a meditation teacher, and author, you’ll be able to find practical lessons to better support friendships and relationships—through jealousy, joy, and conflict—by starting with yourself. Check out the Calm app for more options that suit your daily needs. Haven't activated your free Calm Premium subscription yet? </w:t>
      </w:r>
    </w:p>
    <w:p w14:paraId="6029ABB2" w14:textId="77777777" w:rsidR="0076662D" w:rsidRPr="0076662D" w:rsidRDefault="0076662D" w:rsidP="0076662D">
      <w:pPr>
        <w:pStyle w:val="ListParagraph"/>
        <w:spacing w:line="276" w:lineRule="auto"/>
        <w:ind w:left="1709" w:right="1423"/>
        <w:jc w:val="both"/>
        <w:rPr>
          <w:rFonts w:asciiTheme="minorHAnsi" w:hAnsiTheme="minorHAnsi" w:cstheme="minorHAnsi"/>
          <w:color w:val="231F20"/>
        </w:rPr>
      </w:pPr>
    </w:p>
    <w:p w14:paraId="05F5B4F0" w14:textId="4432EB76" w:rsidR="00F27819" w:rsidRPr="0076662D" w:rsidRDefault="0076662D" w:rsidP="0076662D">
      <w:pPr>
        <w:spacing w:line="312" w:lineRule="auto"/>
        <w:ind w:left="720"/>
        <w:rPr>
          <w:rFonts w:asciiTheme="minorHAnsi" w:hAnsiTheme="minorHAnsi" w:cstheme="minorHAnsi"/>
        </w:rPr>
      </w:pPr>
      <w:r w:rsidRPr="0076662D">
        <w:rPr>
          <w:rFonts w:asciiTheme="minorHAnsi" w:hAnsiTheme="minorHAnsi" w:cstheme="minorHAnsi"/>
          <w:color w:val="231F20"/>
        </w:rPr>
        <w:t>Simply</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follow</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the</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instructions</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below</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to</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gain</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rPr>
        <w:t>full</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access</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to</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spacing w:val="-2"/>
        </w:rPr>
        <w:t>Calm—the</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#1</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app</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for</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rPr>
        <w:t>mental</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fitness.</w:t>
      </w:r>
      <w:r w:rsidRPr="0076662D">
        <w:rPr>
          <w:rFonts w:asciiTheme="minorHAnsi" w:hAnsiTheme="minorHAnsi" w:cstheme="minorHAnsi"/>
          <w:color w:val="231F20"/>
          <w:spacing w:val="24"/>
        </w:rPr>
        <w:t xml:space="preserve"> </w:t>
      </w:r>
      <w:r w:rsidRPr="0076662D">
        <w:rPr>
          <w:rFonts w:asciiTheme="minorHAnsi" w:hAnsiTheme="minorHAnsi" w:cstheme="minorHAnsi"/>
          <w:color w:val="231F20"/>
        </w:rPr>
        <w:t>Whether</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rPr>
        <w:t>you</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rPr>
        <w:t>have</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rPr>
        <w:t>30</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rPr>
        <w:t>seconds</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rPr>
        <w:t>or</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rPr>
        <w:t>30</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rPr>
        <w:t>minutes,</w:t>
      </w:r>
      <w:r w:rsidRPr="0076662D">
        <w:rPr>
          <w:rFonts w:asciiTheme="minorHAnsi" w:hAnsiTheme="minorHAnsi" w:cstheme="minorHAnsi"/>
          <w:color w:val="231F20"/>
          <w:spacing w:val="-25"/>
        </w:rPr>
        <w:t xml:space="preserve"> </w:t>
      </w:r>
      <w:r w:rsidRPr="0076662D">
        <w:rPr>
          <w:rFonts w:asciiTheme="minorHAnsi" w:hAnsiTheme="minorHAnsi" w:cstheme="minorHAnsi"/>
          <w:color w:val="231F20"/>
          <w:spacing w:val="-4"/>
        </w:rPr>
        <w:t>Calm’s</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rPr>
        <w:t>diverse</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rPr>
        <w:t>content</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spacing w:val="-1"/>
        </w:rPr>
        <w:t>libr</w:t>
      </w:r>
      <w:r w:rsidRPr="0076662D">
        <w:rPr>
          <w:rFonts w:asciiTheme="minorHAnsi" w:hAnsiTheme="minorHAnsi" w:cstheme="minorHAnsi"/>
          <w:color w:val="231F20"/>
          <w:spacing w:val="-2"/>
        </w:rPr>
        <w:t>ary</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spacing w:val="-1"/>
        </w:rPr>
        <w:t>of</w:t>
      </w:r>
      <w:r w:rsidRPr="0076662D">
        <w:rPr>
          <w:rFonts w:asciiTheme="minorHAnsi" w:hAnsiTheme="minorHAnsi" w:cstheme="minorHAnsi"/>
          <w:color w:val="231F20"/>
          <w:spacing w:val="-2"/>
        </w:rPr>
        <w:t>fers</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spacing w:val="-1"/>
        </w:rPr>
        <w:t>r</w:t>
      </w:r>
      <w:r w:rsidRPr="0076662D">
        <w:rPr>
          <w:rFonts w:asciiTheme="minorHAnsi" w:hAnsiTheme="minorHAnsi" w:cstheme="minorHAnsi"/>
          <w:color w:val="231F20"/>
          <w:spacing w:val="-2"/>
        </w:rPr>
        <w:t>esources</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rPr>
        <w:t>to</w:t>
      </w:r>
      <w:r w:rsidRPr="0076662D">
        <w:rPr>
          <w:rFonts w:asciiTheme="minorHAnsi" w:hAnsiTheme="minorHAnsi" w:cstheme="minorHAnsi"/>
          <w:color w:val="231F20"/>
          <w:spacing w:val="21"/>
        </w:rPr>
        <w:t xml:space="preserve"> </w:t>
      </w:r>
      <w:r w:rsidRPr="0076662D">
        <w:rPr>
          <w:rFonts w:asciiTheme="minorHAnsi" w:hAnsiTheme="minorHAnsi" w:cstheme="minorHAnsi"/>
          <w:color w:val="231F20"/>
        </w:rPr>
        <w:t>suit</w:t>
      </w:r>
      <w:r w:rsidRPr="0076662D">
        <w:rPr>
          <w:rFonts w:asciiTheme="minorHAnsi" w:hAnsiTheme="minorHAnsi" w:cstheme="minorHAnsi"/>
          <w:color w:val="231F20"/>
          <w:spacing w:val="-20"/>
        </w:rPr>
        <w:t xml:space="preserve"> </w:t>
      </w:r>
      <w:r w:rsidRPr="0076662D">
        <w:rPr>
          <w:rFonts w:asciiTheme="minorHAnsi" w:hAnsiTheme="minorHAnsi" w:cstheme="minorHAnsi"/>
          <w:color w:val="231F20"/>
        </w:rPr>
        <w:t>your</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rPr>
        <w:t>schedule</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rPr>
        <w:t>and</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rPr>
        <w:t>needs.</w:t>
      </w:r>
      <w:r w:rsidRPr="0076662D">
        <w:rPr>
          <w:rFonts w:asciiTheme="minorHAnsi" w:hAnsiTheme="minorHAnsi" w:cstheme="minorHAnsi"/>
          <w:color w:val="231F20"/>
          <w:spacing w:val="-24"/>
        </w:rPr>
        <w:t xml:space="preserve"> </w:t>
      </w:r>
      <w:r w:rsidRPr="0076662D">
        <w:rPr>
          <w:rFonts w:asciiTheme="minorHAnsi" w:hAnsiTheme="minorHAnsi" w:cstheme="minorHAnsi"/>
          <w:color w:val="231F20"/>
          <w:spacing w:val="-1"/>
        </w:rPr>
        <w:t>Explor</w:t>
      </w:r>
      <w:r w:rsidRPr="0076662D">
        <w:rPr>
          <w:rFonts w:asciiTheme="minorHAnsi" w:hAnsiTheme="minorHAnsi" w:cstheme="minorHAnsi"/>
          <w:color w:val="231F20"/>
          <w:spacing w:val="-2"/>
        </w:rPr>
        <w:t>e</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rPr>
        <w:t>guided</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spacing w:val="-1"/>
        </w:rPr>
        <w:t>meditations</w:t>
      </w:r>
      <w:r w:rsidRPr="0076662D">
        <w:rPr>
          <w:rFonts w:asciiTheme="minorHAnsi" w:hAnsiTheme="minorHAnsi" w:cstheme="minorHAnsi"/>
          <w:color w:val="231F20"/>
          <w:spacing w:val="-20"/>
        </w:rPr>
        <w:t xml:space="preserve"> </w:t>
      </w:r>
      <w:r w:rsidRPr="0076662D">
        <w:rPr>
          <w:rFonts w:asciiTheme="minorHAnsi" w:hAnsiTheme="minorHAnsi" w:cstheme="minorHAnsi"/>
          <w:color w:val="231F20"/>
        </w:rPr>
        <w:t>and</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rPr>
        <w:t>specialized</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rPr>
        <w:t>music</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rPr>
        <w:t>playlists</w:t>
      </w:r>
      <w:r w:rsidRPr="0076662D">
        <w:rPr>
          <w:rFonts w:asciiTheme="minorHAnsi" w:hAnsiTheme="minorHAnsi" w:cstheme="minorHAnsi"/>
          <w:color w:val="231F20"/>
          <w:spacing w:val="-19"/>
        </w:rPr>
        <w:t xml:space="preserve"> </w:t>
      </w:r>
      <w:r w:rsidRPr="0076662D">
        <w:rPr>
          <w:rFonts w:asciiTheme="minorHAnsi" w:hAnsiTheme="minorHAnsi" w:cstheme="minorHAnsi"/>
          <w:color w:val="231F20"/>
        </w:rPr>
        <w:t>to</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rPr>
        <w:t>help</w:t>
      </w:r>
      <w:r w:rsidRPr="0076662D">
        <w:rPr>
          <w:rFonts w:asciiTheme="minorHAnsi" w:hAnsiTheme="minorHAnsi" w:cstheme="minorHAnsi"/>
          <w:color w:val="231F20"/>
          <w:spacing w:val="-18"/>
        </w:rPr>
        <w:t xml:space="preserve"> </w:t>
      </w:r>
      <w:r w:rsidRPr="0076662D">
        <w:rPr>
          <w:rFonts w:asciiTheme="minorHAnsi" w:hAnsiTheme="minorHAnsi" w:cstheme="minorHAnsi"/>
          <w:color w:val="231F20"/>
        </w:rPr>
        <w:t>with</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spacing w:val="-2"/>
        </w:rPr>
        <w:t>stress</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and</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focus,</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rPr>
        <w:t>mindful</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movement</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video</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and</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spacing w:val="-1"/>
        </w:rPr>
        <w:t>audio</w:t>
      </w:r>
      <w:r w:rsidRPr="0076662D">
        <w:rPr>
          <w:rFonts w:asciiTheme="minorHAnsi" w:hAnsiTheme="minorHAnsi" w:cstheme="minorHAnsi"/>
          <w:color w:val="231F20"/>
          <w:spacing w:val="-2"/>
        </w:rPr>
        <w:t>,</w:t>
      </w:r>
      <w:r w:rsidRPr="0076662D">
        <w:rPr>
          <w:rFonts w:asciiTheme="minorHAnsi" w:hAnsiTheme="minorHAnsi" w:cstheme="minorHAnsi"/>
          <w:color w:val="231F20"/>
          <w:spacing w:val="-23"/>
        </w:rPr>
        <w:t xml:space="preserve"> </w:t>
      </w:r>
      <w:r w:rsidRPr="0076662D">
        <w:rPr>
          <w:rFonts w:asciiTheme="minorHAnsi" w:hAnsiTheme="minorHAnsi" w:cstheme="minorHAnsi"/>
          <w:color w:val="231F20"/>
          <w:spacing w:val="-1"/>
        </w:rPr>
        <w:t>relaxing</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Sleep</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spacing w:val="-2"/>
        </w:rPr>
        <w:t>S</w:t>
      </w:r>
      <w:r w:rsidRPr="0076662D">
        <w:rPr>
          <w:rFonts w:asciiTheme="minorHAnsi" w:hAnsiTheme="minorHAnsi" w:cstheme="minorHAnsi"/>
          <w:color w:val="231F20"/>
          <w:spacing w:val="-1"/>
        </w:rPr>
        <w:t>tories,</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spacing w:val="-1"/>
        </w:rPr>
        <w:t>tailored</w:t>
      </w:r>
      <w:r w:rsidRPr="0076662D">
        <w:rPr>
          <w:rFonts w:asciiTheme="minorHAnsi" w:hAnsiTheme="minorHAnsi" w:cstheme="minorHAnsi"/>
          <w:color w:val="231F20"/>
          <w:spacing w:val="39"/>
        </w:rPr>
        <w:t xml:space="preserve"> </w:t>
      </w:r>
      <w:r w:rsidRPr="0076662D">
        <w:rPr>
          <w:rFonts w:asciiTheme="minorHAnsi" w:hAnsiTheme="minorHAnsi" w:cstheme="minorHAnsi"/>
          <w:color w:val="231F20"/>
        </w:rPr>
        <w:t>content</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for</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spacing w:val="-1"/>
        </w:rPr>
        <w:t>childr</w:t>
      </w:r>
      <w:r w:rsidRPr="0076662D">
        <w:rPr>
          <w:rFonts w:asciiTheme="minorHAnsi" w:hAnsiTheme="minorHAnsi" w:cstheme="minorHAnsi"/>
          <w:color w:val="231F20"/>
          <w:spacing w:val="-2"/>
        </w:rPr>
        <w:t>en,</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rPr>
        <w:t>wisdom-filled</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spacing w:val="-2"/>
        </w:rPr>
        <w:t>masterclasses</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led</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by</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spacing w:val="-2"/>
        </w:rPr>
        <w:t>e</w:t>
      </w:r>
      <w:r w:rsidRPr="0076662D">
        <w:rPr>
          <w:rFonts w:asciiTheme="minorHAnsi" w:hAnsiTheme="minorHAnsi" w:cstheme="minorHAnsi"/>
          <w:color w:val="231F20"/>
          <w:spacing w:val="-1"/>
        </w:rPr>
        <w:t>xper</w:t>
      </w:r>
      <w:r w:rsidRPr="0076662D">
        <w:rPr>
          <w:rFonts w:asciiTheme="minorHAnsi" w:hAnsiTheme="minorHAnsi" w:cstheme="minorHAnsi"/>
          <w:color w:val="231F20"/>
          <w:spacing w:val="-2"/>
        </w:rPr>
        <w:t>ts,</w:t>
      </w:r>
      <w:r w:rsidRPr="0076662D">
        <w:rPr>
          <w:rFonts w:asciiTheme="minorHAnsi" w:hAnsiTheme="minorHAnsi" w:cstheme="minorHAnsi"/>
          <w:color w:val="231F20"/>
          <w:spacing w:val="-22"/>
        </w:rPr>
        <w:t xml:space="preserve"> </w:t>
      </w:r>
      <w:r w:rsidRPr="0076662D">
        <w:rPr>
          <w:rFonts w:asciiTheme="minorHAnsi" w:hAnsiTheme="minorHAnsi" w:cstheme="minorHAnsi"/>
          <w:color w:val="231F20"/>
        </w:rPr>
        <w:t>and</w:t>
      </w:r>
      <w:r w:rsidRPr="0076662D">
        <w:rPr>
          <w:rFonts w:asciiTheme="minorHAnsi" w:hAnsiTheme="minorHAnsi" w:cstheme="minorHAnsi"/>
          <w:color w:val="231F20"/>
          <w:spacing w:val="-17"/>
        </w:rPr>
        <w:t xml:space="preserve"> </w:t>
      </w:r>
      <w:r w:rsidRPr="0076662D">
        <w:rPr>
          <w:rFonts w:asciiTheme="minorHAnsi" w:hAnsiTheme="minorHAnsi" w:cstheme="minorHAnsi"/>
          <w:color w:val="231F20"/>
        </w:rPr>
        <w:t>much</w:t>
      </w:r>
      <w:r w:rsidRPr="0076662D">
        <w:rPr>
          <w:rFonts w:asciiTheme="minorHAnsi" w:hAnsiTheme="minorHAnsi" w:cstheme="minorHAnsi"/>
          <w:color w:val="231F20"/>
          <w:spacing w:val="-16"/>
        </w:rPr>
        <w:t xml:space="preserve"> </w:t>
      </w:r>
      <w:r w:rsidRPr="0076662D">
        <w:rPr>
          <w:rFonts w:asciiTheme="minorHAnsi" w:hAnsiTheme="minorHAnsi" w:cstheme="minorHAnsi"/>
          <w:color w:val="231F20"/>
          <w:spacing w:val="-1"/>
        </w:rPr>
        <w:t>mor</w:t>
      </w:r>
      <w:r w:rsidRPr="0076662D">
        <w:rPr>
          <w:rFonts w:asciiTheme="minorHAnsi" w:hAnsiTheme="minorHAnsi" w:cstheme="minorHAnsi"/>
          <w:color w:val="231F20"/>
          <w:spacing w:val="-2"/>
        </w:rPr>
        <w:t>e.</w:t>
      </w:r>
    </w:p>
    <w:sectPr w:rsidR="00F27819" w:rsidRPr="0076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47EC"/>
    <w:multiLevelType w:val="hybridMultilevel"/>
    <w:tmpl w:val="93E6511C"/>
    <w:lvl w:ilvl="0" w:tplc="04090001">
      <w:start w:val="1"/>
      <w:numFmt w:val="bullet"/>
      <w:lvlText w:val=""/>
      <w:lvlJc w:val="left"/>
      <w:pPr>
        <w:ind w:left="-6222" w:hanging="360"/>
      </w:pPr>
      <w:rPr>
        <w:rFonts w:ascii="Symbol" w:hAnsi="Symbol" w:hint="default"/>
      </w:rPr>
    </w:lvl>
    <w:lvl w:ilvl="1" w:tplc="04090003">
      <w:start w:val="1"/>
      <w:numFmt w:val="bullet"/>
      <w:lvlText w:val="o"/>
      <w:lvlJc w:val="left"/>
      <w:pPr>
        <w:ind w:left="-5502" w:hanging="360"/>
      </w:pPr>
      <w:rPr>
        <w:rFonts w:ascii="Courier New" w:hAnsi="Courier New" w:cs="Courier New" w:hint="default"/>
      </w:rPr>
    </w:lvl>
    <w:lvl w:ilvl="2" w:tplc="04090005">
      <w:start w:val="1"/>
      <w:numFmt w:val="bullet"/>
      <w:lvlText w:val=""/>
      <w:lvlJc w:val="left"/>
      <w:pPr>
        <w:ind w:left="-4782" w:hanging="360"/>
      </w:pPr>
      <w:rPr>
        <w:rFonts w:ascii="Wingdings" w:hAnsi="Wingdings" w:hint="default"/>
      </w:rPr>
    </w:lvl>
    <w:lvl w:ilvl="3" w:tplc="04090001">
      <w:start w:val="1"/>
      <w:numFmt w:val="bullet"/>
      <w:lvlText w:val=""/>
      <w:lvlJc w:val="left"/>
      <w:pPr>
        <w:ind w:left="-406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2622" w:hanging="360"/>
      </w:pPr>
      <w:rPr>
        <w:rFonts w:ascii="Wingdings" w:hAnsi="Wingdings" w:hint="default"/>
      </w:rPr>
    </w:lvl>
    <w:lvl w:ilvl="6" w:tplc="04090001">
      <w:start w:val="1"/>
      <w:numFmt w:val="bullet"/>
      <w:lvlText w:val=""/>
      <w:lvlJc w:val="left"/>
      <w:pPr>
        <w:ind w:left="-1902" w:hanging="360"/>
      </w:pPr>
      <w:rPr>
        <w:rFonts w:ascii="Symbol" w:hAnsi="Symbol" w:hint="default"/>
      </w:rPr>
    </w:lvl>
    <w:lvl w:ilvl="7" w:tplc="04090003">
      <w:start w:val="1"/>
      <w:numFmt w:val="bullet"/>
      <w:lvlText w:val="o"/>
      <w:lvlJc w:val="left"/>
      <w:pPr>
        <w:ind w:left="-1182" w:hanging="360"/>
      </w:pPr>
      <w:rPr>
        <w:rFonts w:ascii="Courier New" w:hAnsi="Courier New" w:cs="Courier New" w:hint="default"/>
      </w:rPr>
    </w:lvl>
    <w:lvl w:ilvl="8" w:tplc="04090001">
      <w:start w:val="1"/>
      <w:numFmt w:val="bullet"/>
      <w:lvlText w:val=""/>
      <w:lvlJc w:val="left"/>
      <w:pPr>
        <w:ind w:left="-462" w:hanging="360"/>
      </w:pPr>
      <w:rPr>
        <w:rFonts w:ascii="Symbol" w:hAnsi="Symbol" w:hint="default"/>
      </w:rPr>
    </w:lvl>
  </w:abstractNum>
  <w:abstractNum w:abstractNumId="1" w15:restartNumberingAfterBreak="0">
    <w:nsid w:val="39181219"/>
    <w:multiLevelType w:val="hybridMultilevel"/>
    <w:tmpl w:val="DDBAA9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98A080E"/>
    <w:multiLevelType w:val="hybridMultilevel"/>
    <w:tmpl w:val="693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B0198"/>
    <w:multiLevelType w:val="multilevel"/>
    <w:tmpl w:val="C9C0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F44E1"/>
    <w:multiLevelType w:val="hybridMultilevel"/>
    <w:tmpl w:val="3C4E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201216">
    <w:abstractNumId w:val="0"/>
  </w:num>
  <w:num w:numId="2" w16cid:durableId="1338574796">
    <w:abstractNumId w:val="3"/>
    <w:lvlOverride w:ilvl="0"/>
    <w:lvlOverride w:ilvl="1"/>
    <w:lvlOverride w:ilvl="2"/>
    <w:lvlOverride w:ilvl="3"/>
    <w:lvlOverride w:ilvl="4"/>
    <w:lvlOverride w:ilvl="5"/>
    <w:lvlOverride w:ilvl="6"/>
    <w:lvlOverride w:ilvl="7"/>
    <w:lvlOverride w:ilvl="8"/>
  </w:num>
  <w:num w:numId="3" w16cid:durableId="118190711">
    <w:abstractNumId w:val="0"/>
  </w:num>
  <w:num w:numId="4" w16cid:durableId="1438871008">
    <w:abstractNumId w:val="4"/>
  </w:num>
  <w:num w:numId="5" w16cid:durableId="1242563388">
    <w:abstractNumId w:val="2"/>
  </w:num>
  <w:num w:numId="6" w16cid:durableId="558590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2D"/>
    <w:rsid w:val="001862FB"/>
    <w:rsid w:val="0076662D"/>
    <w:rsid w:val="00F6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6DE8"/>
  <w15:chartTrackingRefBased/>
  <w15:docId w15:val="{0B2FF843-5996-4FA2-8E76-27575964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62D"/>
    <w:rPr>
      <w:color w:val="0563C1"/>
      <w:u w:val="single"/>
    </w:rPr>
  </w:style>
  <w:style w:type="paragraph" w:styleId="ListParagraph">
    <w:name w:val="List Paragraph"/>
    <w:basedOn w:val="Normal"/>
    <w:uiPriority w:val="34"/>
    <w:qFormat/>
    <w:rsid w:val="007666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m.com/player/6gHSCsORGb" TargetMode="External"/><Relationship Id="rId3" Type="http://schemas.openxmlformats.org/officeDocument/2006/relationships/settings" Target="settings.xml"/><Relationship Id="rId7" Type="http://schemas.openxmlformats.org/officeDocument/2006/relationships/hyperlink" Target="https://www.calm.com/player/D5gbNcp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m.com/program/UfJqj5F7WV" TargetMode="External"/><Relationship Id="rId11" Type="http://schemas.openxmlformats.org/officeDocument/2006/relationships/theme" Target="theme/theme1.xml"/><Relationship Id="rId5" Type="http://schemas.openxmlformats.org/officeDocument/2006/relationships/hyperlink" Target="https://www.calm.com/player/EJyWQZ76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lm.com/program/W8Yi4NNU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Stillman</dc:creator>
  <cp:keywords/>
  <dc:description/>
  <cp:lastModifiedBy>Holli Stillman</cp:lastModifiedBy>
  <cp:revision>1</cp:revision>
  <dcterms:created xsi:type="dcterms:W3CDTF">2023-06-29T14:44:00Z</dcterms:created>
  <dcterms:modified xsi:type="dcterms:W3CDTF">2023-06-29T14:52:00Z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2023-06-29T14:44:35Z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c822d419-b72e-4106-8a55-506c18723697</vt:lpwstr>
  </property>
  <property fmtid="{D5CDD505-2E9C-101B-9397-08002B2CF9AE}" pid="8" name="MSIP_Label_8d321b5f-a4ea-42e4-9273-2f91b9a1a708_ContentBits">
    <vt:lpwstr>0</vt:lpwstr>
  </property>
</Properties>
</file>