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07F6" w14:textId="77777777" w:rsidR="00361D28" w:rsidRDefault="00191375">
      <w:pPr>
        <w:spacing w:after="0" w:line="259" w:lineRule="auto"/>
        <w:ind w:left="112" w:firstLine="0"/>
      </w:pPr>
      <w:r>
        <w:t xml:space="preserve"> </w:t>
      </w:r>
    </w:p>
    <w:p w14:paraId="505356D0" w14:textId="77777777" w:rsidR="00361D28" w:rsidRDefault="001D1B79">
      <w:pPr>
        <w:spacing w:after="0" w:line="259" w:lineRule="auto"/>
        <w:ind w:left="102" w:firstLine="0"/>
        <w:jc w:val="center"/>
      </w:pPr>
      <w:r>
        <w:rPr>
          <w:b/>
          <w:u w:val="single" w:color="000000"/>
        </w:rPr>
        <w:t xml:space="preserve">WCU </w:t>
      </w:r>
      <w:r w:rsidR="00A86244">
        <w:rPr>
          <w:b/>
          <w:u w:val="single" w:color="000000"/>
        </w:rPr>
        <w:t>Payment</w:t>
      </w:r>
      <w:r>
        <w:rPr>
          <w:b/>
          <w:u w:val="single" w:color="000000"/>
        </w:rPr>
        <w:t xml:space="preserve"> Card </w:t>
      </w:r>
      <w:r w:rsidR="00191375">
        <w:rPr>
          <w:b/>
          <w:u w:val="single" w:color="000000"/>
        </w:rPr>
        <w:t>Security Incident Response Plan</w:t>
      </w:r>
      <w:r w:rsidR="00191375">
        <w:rPr>
          <w:b/>
        </w:rPr>
        <w:t xml:space="preserve"> </w:t>
      </w:r>
    </w:p>
    <w:p w14:paraId="28363983" w14:textId="77777777" w:rsidR="00361D28" w:rsidRDefault="00191375">
      <w:pPr>
        <w:spacing w:after="0" w:line="259" w:lineRule="auto"/>
        <w:ind w:left="112" w:firstLine="0"/>
      </w:pPr>
      <w:r>
        <w:t xml:space="preserve"> </w:t>
      </w:r>
    </w:p>
    <w:p w14:paraId="43492929" w14:textId="77777777" w:rsidR="00361D28" w:rsidRDefault="00604582">
      <w:pPr>
        <w:ind w:left="110"/>
      </w:pPr>
      <w:r>
        <w:t xml:space="preserve">PCI DSS </w:t>
      </w:r>
      <w:r w:rsidR="00191375">
        <w:t>requires that merchants create and document an incident response plan</w:t>
      </w:r>
      <w:r w:rsidR="00A84ED6">
        <w:t xml:space="preserve"> and test the plan </w:t>
      </w:r>
      <w:r w:rsidR="00CC09A8">
        <w:t>annually</w:t>
      </w:r>
      <w:r w:rsidR="00191375">
        <w:t xml:space="preserve">.  The </w:t>
      </w:r>
      <w:r w:rsidR="00A86244">
        <w:t>WCU</w:t>
      </w:r>
      <w:r w:rsidR="00191375">
        <w:t xml:space="preserve"> PCI Security Incident Response Team (PCI Response Team) is comprised of the</w:t>
      </w:r>
      <w:r w:rsidR="00A86244">
        <w:t xml:space="preserve"> </w:t>
      </w:r>
      <w:r w:rsidR="00191375">
        <w:t>University Controller,</w:t>
      </w:r>
      <w:r w:rsidR="00A86244">
        <w:t xml:space="preserve"> the Bursar, the Information Security Officer, the Chief Information Officer,</w:t>
      </w:r>
      <w:r w:rsidR="001B0568">
        <w:t xml:space="preserve"> </w:t>
      </w:r>
      <w:r w:rsidR="00145D50">
        <w:t>a</w:t>
      </w:r>
      <w:r w:rsidR="001B0568">
        <w:t>n</w:t>
      </w:r>
      <w:r w:rsidR="00145D50">
        <w:t xml:space="preserve"> </w:t>
      </w:r>
      <w:r w:rsidR="001B0568">
        <w:t xml:space="preserve">investigator </w:t>
      </w:r>
      <w:r w:rsidR="00145D50">
        <w:t>from the</w:t>
      </w:r>
      <w:r w:rsidR="00A86244">
        <w:t xml:space="preserve"> University Police</w:t>
      </w:r>
      <w:r w:rsidR="00145D50">
        <w:t xml:space="preserve"> Department</w:t>
      </w:r>
      <w:r w:rsidR="00A86244">
        <w:t xml:space="preserve">, </w:t>
      </w:r>
      <w:r w:rsidR="001B0568">
        <w:t xml:space="preserve">and a representative from </w:t>
      </w:r>
      <w:r w:rsidR="00145D50">
        <w:t xml:space="preserve">Communications and Public Relations, Legal </w:t>
      </w:r>
      <w:proofErr w:type="gramStart"/>
      <w:r w:rsidR="00145D50">
        <w:t>Counsel</w:t>
      </w:r>
      <w:proofErr w:type="gramEnd"/>
      <w:r w:rsidR="00145D50">
        <w:t xml:space="preserve"> and</w:t>
      </w:r>
      <w:r w:rsidR="00A86244">
        <w:t xml:space="preserve"> Internal Audit</w:t>
      </w:r>
      <w:r w:rsidR="00145D50">
        <w:t xml:space="preserve">. </w:t>
      </w:r>
      <w:r w:rsidR="00191375">
        <w:t xml:space="preserve">The </w:t>
      </w:r>
      <w:r w:rsidR="00A86244">
        <w:t>WCU</w:t>
      </w:r>
      <w:r w:rsidR="00191375">
        <w:t xml:space="preserve"> PCI security incident response plan is as follows: </w:t>
      </w:r>
    </w:p>
    <w:p w14:paraId="68BCEA2D" w14:textId="77777777" w:rsidR="00361D28" w:rsidRDefault="00191375">
      <w:pPr>
        <w:spacing w:after="0" w:line="259" w:lineRule="auto"/>
        <w:ind w:left="112" w:firstLine="0"/>
      </w:pPr>
      <w:r>
        <w:t xml:space="preserve"> </w:t>
      </w:r>
    </w:p>
    <w:p w14:paraId="3270A9D9" w14:textId="77777777" w:rsidR="0046107F" w:rsidRDefault="0046107F">
      <w:pPr>
        <w:numPr>
          <w:ilvl w:val="0"/>
          <w:numId w:val="1"/>
        </w:numPr>
        <w:ind w:hanging="360"/>
      </w:pPr>
      <w:r>
        <w:t xml:space="preserve">WCU Payment Card Processing Policy </w:t>
      </w:r>
      <w:r w:rsidR="00CC09A8">
        <w:t xml:space="preserve">dictates that </w:t>
      </w:r>
      <w:r>
        <w:t>each merchant department must report suspicious activities, evidence of tampering or security incidents first to the WCU Police Department and then the Controller’s Office.</w:t>
      </w:r>
    </w:p>
    <w:p w14:paraId="2730BA15" w14:textId="77777777" w:rsidR="00361D28" w:rsidRDefault="003D1D9F" w:rsidP="00892491">
      <w:pPr>
        <w:numPr>
          <w:ilvl w:val="0"/>
          <w:numId w:val="1"/>
        </w:numPr>
        <w:ind w:hanging="360"/>
      </w:pPr>
      <w:r>
        <w:t xml:space="preserve">Incidents affecting the cardholder data environment detected by the IT Division will be reported to the Information Security Officer or the Chief Information Officer. </w:t>
      </w:r>
      <w:r w:rsidR="004925A7">
        <w:t>The</w:t>
      </w:r>
      <w:r w:rsidR="00145D50">
        <w:t xml:space="preserve"> person</w:t>
      </w:r>
      <w:r w:rsidR="00191375">
        <w:t xml:space="preserve"> receiving the report will advise the PCI Response Team of the incident. </w:t>
      </w:r>
    </w:p>
    <w:p w14:paraId="135F7FB7" w14:textId="77777777" w:rsidR="00361D28" w:rsidRDefault="00191375">
      <w:pPr>
        <w:numPr>
          <w:ilvl w:val="0"/>
          <w:numId w:val="1"/>
        </w:numPr>
        <w:spacing w:after="6" w:line="242" w:lineRule="auto"/>
        <w:ind w:hanging="360"/>
      </w:pPr>
      <w:r>
        <w:t>The PCI Response Team will investigate the incident</w:t>
      </w:r>
      <w:r w:rsidR="00B67CB0">
        <w:t xml:space="preserve">, assess the </w:t>
      </w:r>
      <w:proofErr w:type="gramStart"/>
      <w:r w:rsidR="00B67CB0">
        <w:t>threat</w:t>
      </w:r>
      <w:proofErr w:type="gramEnd"/>
      <w:r>
        <w:t xml:space="preserve"> and assist the potentially compromised department in limiting the exposure of cardholder data and in mitigating the risk</w:t>
      </w:r>
      <w:r w:rsidR="00B67CB0">
        <w:t xml:space="preserve">s </w:t>
      </w:r>
      <w:r w:rsidR="006B4467">
        <w:t xml:space="preserve">and impacts </w:t>
      </w:r>
      <w:r w:rsidR="00B67CB0">
        <w:t>associated with the incident.</w:t>
      </w:r>
    </w:p>
    <w:p w14:paraId="51B338EA" w14:textId="77777777" w:rsidR="00B67CB0" w:rsidRDefault="00B67CB0" w:rsidP="00B67CB0">
      <w:pPr>
        <w:numPr>
          <w:ilvl w:val="0"/>
          <w:numId w:val="1"/>
        </w:numPr>
        <w:ind w:hanging="360"/>
      </w:pPr>
      <w:r>
        <w:t xml:space="preserve">The PCI Response Team will determine if an account compromise event has </w:t>
      </w:r>
      <w:proofErr w:type="gramStart"/>
      <w:r>
        <w:t>occurred</w:t>
      </w:r>
      <w:proofErr w:type="gramEnd"/>
      <w:r>
        <w:t xml:space="preserve"> or a security breach has occurred wherein there is a suspected or confirmed loss or theft of any material or records that contain cardholder data. </w:t>
      </w:r>
    </w:p>
    <w:p w14:paraId="639B5401" w14:textId="77777777" w:rsidR="00361D28" w:rsidRDefault="00191375">
      <w:pPr>
        <w:numPr>
          <w:ilvl w:val="0"/>
          <w:numId w:val="1"/>
        </w:numPr>
        <w:ind w:hanging="360"/>
      </w:pPr>
      <w:r>
        <w:t xml:space="preserve">The PCI Response Team will </w:t>
      </w:r>
      <w:r w:rsidR="002875BA">
        <w:t xml:space="preserve">notify the Office of State Controller </w:t>
      </w:r>
      <w:r w:rsidR="00145D50">
        <w:t xml:space="preserve">within 24-hours of the report </w:t>
      </w:r>
      <w:r w:rsidR="002875BA">
        <w:t xml:space="preserve">and with their help </w:t>
      </w:r>
      <w:r>
        <w:t>resolve the problem to the satisfaction of all parties involved, including reporting the incident and findings to the appropriate parties (</w:t>
      </w:r>
      <w:r w:rsidR="0037637C">
        <w:t>card brands, merchant</w:t>
      </w:r>
      <w:r>
        <w:t xml:space="preserve"> card processors, etc.) as necessary. </w:t>
      </w:r>
    </w:p>
    <w:p w14:paraId="58F292E3" w14:textId="77777777" w:rsidR="00FF5992" w:rsidRDefault="00FF5992" w:rsidP="00B67CB0">
      <w:pPr>
        <w:numPr>
          <w:ilvl w:val="0"/>
          <w:numId w:val="1"/>
        </w:numPr>
        <w:ind w:hanging="360"/>
      </w:pPr>
      <w:r>
        <w:t xml:space="preserve">If business </w:t>
      </w:r>
      <w:r w:rsidR="00D018D7">
        <w:t xml:space="preserve">recovery and </w:t>
      </w:r>
      <w:r>
        <w:t xml:space="preserve">continuity is a concern for the </w:t>
      </w:r>
      <w:r w:rsidR="00D018D7">
        <w:t xml:space="preserve">merchant </w:t>
      </w:r>
      <w:r>
        <w:t>department</w:t>
      </w:r>
      <w:r w:rsidR="00D018D7">
        <w:t>(s)</w:t>
      </w:r>
      <w:r>
        <w:t xml:space="preserve"> then the Controller’s Office should be contacted for advice and possible rental of their cellular point-of-sale terminal.</w:t>
      </w:r>
    </w:p>
    <w:p w14:paraId="6CF9F736" w14:textId="77777777" w:rsidR="00361D28" w:rsidRDefault="00191375">
      <w:pPr>
        <w:numPr>
          <w:ilvl w:val="0"/>
          <w:numId w:val="1"/>
        </w:numPr>
        <w:ind w:hanging="360"/>
      </w:pPr>
      <w:r>
        <w:t>The PCI Response Team will determine if policies and processes need to be updated to avoid a similar incident in the future, and whether additional safeguards are required in the environment where the incident occurred, or for the institution.</w:t>
      </w:r>
    </w:p>
    <w:p w14:paraId="4C8DD046" w14:textId="77777777" w:rsidR="009D39F1" w:rsidRDefault="009D39F1" w:rsidP="009D39F1">
      <w:pPr>
        <w:numPr>
          <w:ilvl w:val="0"/>
          <w:numId w:val="1"/>
        </w:numPr>
        <w:ind w:hanging="360"/>
      </w:pPr>
      <w:r>
        <w:t xml:space="preserve">If it is determined that a security breach has occurred that may have compromised cardholder </w:t>
      </w:r>
      <w:proofErr w:type="gramStart"/>
      <w:r>
        <w:t>data</w:t>
      </w:r>
      <w:proofErr w:type="gramEnd"/>
      <w:r>
        <w:t xml:space="preserve"> then a formal PCI Incident Response Report may need to be completed.</w:t>
      </w:r>
    </w:p>
    <w:p w14:paraId="777BD86E" w14:textId="77777777" w:rsidR="00361D28" w:rsidRDefault="00191375">
      <w:pPr>
        <w:spacing w:after="0" w:line="259" w:lineRule="auto"/>
        <w:ind w:left="114" w:firstLine="0"/>
      </w:pPr>
      <w:r>
        <w:t xml:space="preserve"> </w:t>
      </w:r>
    </w:p>
    <w:p w14:paraId="652AED58" w14:textId="77777777" w:rsidR="00361D28" w:rsidRDefault="00145D50">
      <w:pPr>
        <w:pStyle w:val="Heading1"/>
        <w:ind w:left="107"/>
      </w:pPr>
      <w:r>
        <w:t>WCU</w:t>
      </w:r>
      <w:r w:rsidR="00191375">
        <w:t xml:space="preserve"> PCI</w:t>
      </w:r>
      <w:r w:rsidR="00FF5080">
        <w:t xml:space="preserve"> Response Team Contact Information</w:t>
      </w:r>
      <w:r w:rsidR="00191375">
        <w:rPr>
          <w:u w:val="none"/>
        </w:rPr>
        <w:t xml:space="preserve"> </w:t>
      </w:r>
    </w:p>
    <w:tbl>
      <w:tblPr>
        <w:tblStyle w:val="TableGrid"/>
        <w:tblW w:w="9370" w:type="dxa"/>
        <w:tblInd w:w="111" w:type="dxa"/>
        <w:tblLook w:val="04A0" w:firstRow="1" w:lastRow="0" w:firstColumn="1" w:lastColumn="0" w:noHBand="0" w:noVBand="1"/>
      </w:tblPr>
      <w:tblGrid>
        <w:gridCol w:w="3600"/>
        <w:gridCol w:w="5770"/>
      </w:tblGrid>
      <w:tr w:rsidR="00361D28" w14:paraId="69424DF7" w14:textId="77777777" w:rsidTr="00E96DF1">
        <w:trPr>
          <w:trHeight w:val="293"/>
        </w:trPr>
        <w:tc>
          <w:tcPr>
            <w:tcW w:w="3600" w:type="dxa"/>
            <w:tcBorders>
              <w:top w:val="nil"/>
              <w:left w:val="nil"/>
              <w:bottom w:val="nil"/>
              <w:right w:val="nil"/>
            </w:tcBorders>
          </w:tcPr>
          <w:p w14:paraId="3AE02CB3" w14:textId="77777777" w:rsidR="00361D28" w:rsidRDefault="00191375">
            <w:pPr>
              <w:tabs>
                <w:tab w:val="center" w:pos="721"/>
                <w:tab w:val="center" w:pos="1441"/>
                <w:tab w:val="center" w:pos="2161"/>
                <w:tab w:val="center" w:pos="2881"/>
              </w:tabs>
              <w:spacing w:after="0" w:line="259" w:lineRule="auto"/>
              <w:ind w:left="0" w:firstLine="0"/>
            </w:pPr>
            <w:r>
              <w:t xml:space="preserve"> </w:t>
            </w:r>
          </w:p>
        </w:tc>
        <w:tc>
          <w:tcPr>
            <w:tcW w:w="5770" w:type="dxa"/>
            <w:tcBorders>
              <w:top w:val="nil"/>
              <w:left w:val="nil"/>
              <w:bottom w:val="nil"/>
              <w:right w:val="nil"/>
            </w:tcBorders>
          </w:tcPr>
          <w:p w14:paraId="451F9FCD" w14:textId="77777777" w:rsidR="00361D28" w:rsidRDefault="00361D28" w:rsidP="003F19FC">
            <w:pPr>
              <w:spacing w:after="0" w:line="259" w:lineRule="auto"/>
              <w:ind w:left="1" w:firstLine="0"/>
            </w:pPr>
          </w:p>
        </w:tc>
      </w:tr>
    </w:tbl>
    <w:p w14:paraId="2FB5FC69" w14:textId="77777777" w:rsidR="00E96DF1" w:rsidRDefault="00E96DF1" w:rsidP="003F19FC">
      <w:pPr>
        <w:tabs>
          <w:tab w:val="center" w:pos="1440"/>
          <w:tab w:val="center" w:pos="2160"/>
          <w:tab w:val="center" w:pos="2880"/>
        </w:tabs>
        <w:spacing w:after="0" w:line="259" w:lineRule="auto"/>
        <w:ind w:left="0" w:firstLine="0"/>
      </w:pPr>
      <w:r>
        <w:t xml:space="preserve">University Police </w:t>
      </w:r>
      <w:r w:rsidR="00721569">
        <w:t xml:space="preserve">- </w:t>
      </w:r>
      <w:r>
        <w:t>828-227-8911</w:t>
      </w:r>
    </w:p>
    <w:p w14:paraId="73A10F66" w14:textId="77777777" w:rsidR="00E96DF1" w:rsidRDefault="00E96DF1" w:rsidP="003F19FC">
      <w:pPr>
        <w:tabs>
          <w:tab w:val="center" w:pos="3411"/>
        </w:tabs>
        <w:spacing w:after="0" w:line="259" w:lineRule="auto"/>
        <w:ind w:left="0" w:firstLine="0"/>
      </w:pPr>
      <w:r>
        <w:t xml:space="preserve">Controller            </w:t>
      </w:r>
      <w:r w:rsidR="00721569">
        <w:t xml:space="preserve">- </w:t>
      </w:r>
      <w:r>
        <w:t xml:space="preserve">828-227-3112 David Steinbicker </w:t>
      </w:r>
      <w:hyperlink r:id="rId7" w:history="1">
        <w:r w:rsidRPr="006B3E82">
          <w:rPr>
            <w:rStyle w:val="Hyperlink"/>
          </w:rPr>
          <w:t>bdsteinbicker@wcu.edu</w:t>
        </w:r>
      </w:hyperlink>
      <w:r>
        <w:t xml:space="preserve">  </w:t>
      </w:r>
    </w:p>
    <w:p w14:paraId="04D8B24C" w14:textId="270ACB7B" w:rsidR="00E96DF1" w:rsidRDefault="00E96DF1" w:rsidP="003F19FC">
      <w:pPr>
        <w:spacing w:after="0" w:line="259" w:lineRule="auto"/>
        <w:ind w:left="0" w:firstLine="0"/>
      </w:pPr>
      <w:r>
        <w:rPr>
          <w:color w:val="404141"/>
        </w:rPr>
        <w:t>Bursar</w:t>
      </w:r>
      <w:r>
        <w:t xml:space="preserve">                  </w:t>
      </w:r>
      <w:r w:rsidR="00721569">
        <w:t xml:space="preserve">- </w:t>
      </w:r>
      <w:r>
        <w:t xml:space="preserve">828-227-3102 </w:t>
      </w:r>
      <w:r w:rsidR="00B07F42">
        <w:t>Brady Proffitt</w:t>
      </w:r>
      <w:r>
        <w:t xml:space="preserve"> </w:t>
      </w:r>
      <w:hyperlink r:id="rId8" w:history="1">
        <w:r w:rsidR="00B07F42" w:rsidRPr="0074602D">
          <w:rPr>
            <w:rStyle w:val="Hyperlink"/>
          </w:rPr>
          <w:t>bproffitt@wcu.edu</w:t>
        </w:r>
      </w:hyperlink>
      <w:r>
        <w:t xml:space="preserve">  </w:t>
      </w:r>
    </w:p>
    <w:p w14:paraId="083CB301" w14:textId="25778A17" w:rsidR="00E96DF1" w:rsidRDefault="00B07F42" w:rsidP="003F19FC">
      <w:pPr>
        <w:spacing w:after="0" w:line="259" w:lineRule="auto"/>
        <w:ind w:left="1" w:firstLine="0"/>
      </w:pPr>
      <w:r>
        <w:t>CISPO</w:t>
      </w:r>
      <w:r w:rsidR="00E96DF1">
        <w:t xml:space="preserve">                 </w:t>
      </w:r>
      <w:r w:rsidR="00721569">
        <w:t xml:space="preserve">- </w:t>
      </w:r>
      <w:r w:rsidR="00E96DF1">
        <w:t xml:space="preserve">828-227-2667 Joel McKenzie </w:t>
      </w:r>
      <w:hyperlink r:id="rId9" w:history="1">
        <w:r w:rsidR="00E96DF1" w:rsidRPr="006B3E82">
          <w:rPr>
            <w:rStyle w:val="Hyperlink"/>
          </w:rPr>
          <w:t>mckenzie@wcu.edu</w:t>
        </w:r>
      </w:hyperlink>
      <w:r w:rsidR="00E96DF1">
        <w:t xml:space="preserve"> </w:t>
      </w:r>
    </w:p>
    <w:p w14:paraId="1BABD2FB" w14:textId="77777777" w:rsidR="00E96DF1" w:rsidRDefault="00E96DF1" w:rsidP="003F19FC">
      <w:pPr>
        <w:tabs>
          <w:tab w:val="center" w:pos="721"/>
          <w:tab w:val="center" w:pos="1441"/>
          <w:tab w:val="center" w:pos="2161"/>
          <w:tab w:val="center" w:pos="2881"/>
        </w:tabs>
        <w:spacing w:after="0" w:line="259" w:lineRule="auto"/>
        <w:ind w:left="0" w:firstLine="0"/>
      </w:pPr>
      <w:r>
        <w:t xml:space="preserve">CIO                     </w:t>
      </w:r>
      <w:r w:rsidR="00EA04C5">
        <w:t xml:space="preserve"> </w:t>
      </w:r>
      <w:r w:rsidR="00721569">
        <w:t xml:space="preserve">- </w:t>
      </w:r>
      <w:r w:rsidR="00A32D7F">
        <w:t>828-227-7282</w:t>
      </w:r>
      <w:r>
        <w:t xml:space="preserve"> </w:t>
      </w:r>
      <w:r w:rsidR="00721569">
        <w:t xml:space="preserve">Craig Fowler </w:t>
      </w:r>
      <w:hyperlink r:id="rId10" w:history="1">
        <w:r w:rsidR="00721569" w:rsidRPr="00AC446F">
          <w:rPr>
            <w:rStyle w:val="Hyperlink"/>
          </w:rPr>
          <w:t>cfowler@wcu.edu</w:t>
        </w:r>
      </w:hyperlink>
    </w:p>
    <w:p w14:paraId="29C9A1B4" w14:textId="77777777" w:rsidR="00E96DF1" w:rsidRDefault="00E96DF1" w:rsidP="003F19FC">
      <w:pPr>
        <w:tabs>
          <w:tab w:val="center" w:pos="721"/>
          <w:tab w:val="center" w:pos="1441"/>
          <w:tab w:val="center" w:pos="2161"/>
          <w:tab w:val="center" w:pos="2881"/>
        </w:tabs>
        <w:spacing w:after="0" w:line="259" w:lineRule="auto"/>
        <w:ind w:left="0" w:firstLine="0"/>
      </w:pPr>
    </w:p>
    <w:p w14:paraId="374D4AE9" w14:textId="77777777" w:rsidR="00E96DF1" w:rsidRDefault="00E96DF1" w:rsidP="003F19FC">
      <w:pPr>
        <w:tabs>
          <w:tab w:val="center" w:pos="721"/>
          <w:tab w:val="center" w:pos="1441"/>
          <w:tab w:val="center" w:pos="2161"/>
          <w:tab w:val="center" w:pos="2881"/>
        </w:tabs>
        <w:spacing w:after="0" w:line="259" w:lineRule="auto"/>
        <w:ind w:left="0" w:firstLine="0"/>
      </w:pPr>
      <w:r>
        <w:t xml:space="preserve">Office of the State Controller Risk Mitigation </w:t>
      </w:r>
      <w:r w:rsidR="00721569">
        <w:t xml:space="preserve">Services - </w:t>
      </w:r>
      <w:r>
        <w:t>919-707-0757</w:t>
      </w:r>
      <w:r w:rsidR="00E92868">
        <w:t xml:space="preserve"> </w:t>
      </w:r>
      <w:hyperlink r:id="rId11" w:history="1">
        <w:r w:rsidR="00E92868" w:rsidRPr="00AC446F">
          <w:rPr>
            <w:rStyle w:val="Hyperlink"/>
          </w:rPr>
          <w:t>ben.mclawhorn@osc.nc.gov</w:t>
        </w:r>
      </w:hyperlink>
    </w:p>
    <w:p w14:paraId="2B3FA24A" w14:textId="77777777" w:rsidR="00E96DF1" w:rsidRDefault="00E96DF1" w:rsidP="003F19FC">
      <w:pPr>
        <w:tabs>
          <w:tab w:val="center" w:pos="721"/>
          <w:tab w:val="center" w:pos="1441"/>
          <w:tab w:val="center" w:pos="2161"/>
          <w:tab w:val="center" w:pos="2881"/>
        </w:tabs>
        <w:spacing w:after="0" w:line="259" w:lineRule="auto"/>
        <w:ind w:left="0" w:firstLine="0"/>
      </w:pPr>
    </w:p>
    <w:p w14:paraId="4341BBF6" w14:textId="77777777" w:rsidR="00E96DF1" w:rsidRDefault="00E96DF1" w:rsidP="00E96DF1">
      <w:pPr>
        <w:spacing w:after="0" w:line="259" w:lineRule="auto"/>
        <w:ind w:left="1" w:firstLine="0"/>
      </w:pPr>
      <w:proofErr w:type="spellStart"/>
      <w:r>
        <w:t>Coalfire</w:t>
      </w:r>
      <w:proofErr w:type="spellEnd"/>
      <w:r>
        <w:t xml:space="preserve"> Forensic Services -  </w:t>
      </w:r>
    </w:p>
    <w:p w14:paraId="4BD4A65B" w14:textId="77777777" w:rsidR="00CF0E9F" w:rsidRDefault="00EA04C5" w:rsidP="00CF0E9F">
      <w:pPr>
        <w:autoSpaceDE w:val="0"/>
        <w:autoSpaceDN w:val="0"/>
        <w:rPr>
          <w:rFonts w:ascii="Calibri" w:hAnsi="Calibri"/>
          <w:sz w:val="21"/>
          <w:szCs w:val="21"/>
        </w:rPr>
      </w:pPr>
      <w:r>
        <w:t xml:space="preserve">  </w:t>
      </w:r>
      <w:proofErr w:type="spellStart"/>
      <w:r w:rsidR="00CF0E9F">
        <w:t>Kyesha</w:t>
      </w:r>
      <w:proofErr w:type="spellEnd"/>
      <w:r w:rsidR="00CF0E9F">
        <w:t xml:space="preserve"> Moultrie </w:t>
      </w:r>
      <w:r>
        <w:t>(O) 678-808-3808 (M) 856-275-</w:t>
      </w:r>
      <w:r w:rsidR="00CF0E9F" w:rsidRPr="00EA04C5">
        <w:t>0513</w:t>
      </w:r>
      <w:r w:rsidR="00CF0E9F" w:rsidRPr="00EA04C5">
        <w:rPr>
          <w:rStyle w:val="Hyperlink"/>
        </w:rPr>
        <w:t xml:space="preserve"> </w:t>
      </w:r>
      <w:hyperlink r:id="rId12" w:history="1">
        <w:r w:rsidR="00CF0E9F" w:rsidRPr="00EA04C5">
          <w:rPr>
            <w:rStyle w:val="Hyperlink"/>
          </w:rPr>
          <w:t>kyesha.moultrie@coalfire.com</w:t>
        </w:r>
      </w:hyperlink>
    </w:p>
    <w:p w14:paraId="37FED0AB" w14:textId="77777777" w:rsidR="00A32D7F" w:rsidRDefault="00EA04C5" w:rsidP="00EA04C5">
      <w:pPr>
        <w:spacing w:after="0" w:line="259" w:lineRule="auto"/>
      </w:pPr>
      <w:r>
        <w:t xml:space="preserve">  </w:t>
      </w:r>
      <w:r w:rsidR="00E96DF1">
        <w:t>Jim Fish          877-224</w:t>
      </w:r>
      <w:r w:rsidR="00A32D7F">
        <w:t xml:space="preserve">-8077 x7501 </w:t>
      </w:r>
      <w:hyperlink r:id="rId13" w:history="1">
        <w:r w:rsidR="00A32D7F" w:rsidRPr="00BF61E4">
          <w:rPr>
            <w:rStyle w:val="Hyperlink"/>
          </w:rPr>
          <w:t>jim.fish@coalfire.com</w:t>
        </w:r>
      </w:hyperlink>
    </w:p>
    <w:p w14:paraId="45980145" w14:textId="77777777" w:rsidR="00E96DF1" w:rsidRDefault="00EA04C5" w:rsidP="00EA04C5">
      <w:pPr>
        <w:spacing w:after="0" w:line="259" w:lineRule="auto"/>
      </w:pPr>
      <w:r>
        <w:t xml:space="preserve">  </w:t>
      </w:r>
      <w:r w:rsidR="00E96DF1">
        <w:t xml:space="preserve">Jon Bonham    877-224-8077 x7526 </w:t>
      </w:r>
      <w:hyperlink r:id="rId14" w:history="1">
        <w:r w:rsidR="00A32D7F" w:rsidRPr="00BF61E4">
          <w:rPr>
            <w:rStyle w:val="Hyperlink"/>
          </w:rPr>
          <w:t>jon.bonham@coalfire.com</w:t>
        </w:r>
      </w:hyperlink>
    </w:p>
    <w:tbl>
      <w:tblPr>
        <w:tblStyle w:val="TableGrid"/>
        <w:tblW w:w="9370" w:type="dxa"/>
        <w:tblInd w:w="111" w:type="dxa"/>
        <w:tblLook w:val="04A0" w:firstRow="1" w:lastRow="0" w:firstColumn="1" w:lastColumn="0" w:noHBand="0" w:noVBand="1"/>
      </w:tblPr>
      <w:tblGrid>
        <w:gridCol w:w="3600"/>
        <w:gridCol w:w="5770"/>
      </w:tblGrid>
      <w:tr w:rsidR="003F19FC" w14:paraId="391B45F6" w14:textId="77777777" w:rsidTr="00E96DF1">
        <w:trPr>
          <w:trHeight w:val="277"/>
        </w:trPr>
        <w:tc>
          <w:tcPr>
            <w:tcW w:w="3600" w:type="dxa"/>
            <w:tcBorders>
              <w:top w:val="nil"/>
              <w:left w:val="nil"/>
              <w:bottom w:val="nil"/>
              <w:right w:val="nil"/>
            </w:tcBorders>
          </w:tcPr>
          <w:p w14:paraId="7375830A" w14:textId="77777777" w:rsidR="003F19FC" w:rsidRDefault="003F19FC" w:rsidP="003F19FC">
            <w:pPr>
              <w:tabs>
                <w:tab w:val="center" w:pos="1440"/>
                <w:tab w:val="center" w:pos="2160"/>
                <w:tab w:val="center" w:pos="2880"/>
              </w:tabs>
              <w:spacing w:after="0" w:line="259" w:lineRule="auto"/>
              <w:ind w:left="0" w:firstLine="0"/>
            </w:pPr>
          </w:p>
        </w:tc>
        <w:tc>
          <w:tcPr>
            <w:tcW w:w="5770" w:type="dxa"/>
            <w:tcBorders>
              <w:top w:val="nil"/>
              <w:left w:val="nil"/>
              <w:bottom w:val="nil"/>
              <w:right w:val="nil"/>
            </w:tcBorders>
          </w:tcPr>
          <w:p w14:paraId="7E3101B4" w14:textId="77777777" w:rsidR="003F19FC" w:rsidRDefault="003F19FC" w:rsidP="003F19FC">
            <w:pPr>
              <w:tabs>
                <w:tab w:val="center" w:pos="3411"/>
              </w:tabs>
              <w:spacing w:after="0" w:line="259" w:lineRule="auto"/>
              <w:ind w:left="0" w:firstLine="0"/>
            </w:pPr>
          </w:p>
        </w:tc>
      </w:tr>
      <w:tr w:rsidR="003F19FC" w14:paraId="60BD8972" w14:textId="77777777" w:rsidTr="00E96DF1">
        <w:trPr>
          <w:trHeight w:val="274"/>
        </w:trPr>
        <w:tc>
          <w:tcPr>
            <w:tcW w:w="3600" w:type="dxa"/>
            <w:tcBorders>
              <w:top w:val="nil"/>
              <w:left w:val="nil"/>
              <w:bottom w:val="nil"/>
              <w:right w:val="nil"/>
            </w:tcBorders>
          </w:tcPr>
          <w:p w14:paraId="6657B3AD" w14:textId="77777777" w:rsidR="003F19FC" w:rsidRDefault="003F19FC" w:rsidP="003F19FC">
            <w:pPr>
              <w:spacing w:after="0" w:line="259" w:lineRule="auto"/>
              <w:ind w:left="0" w:firstLine="0"/>
            </w:pPr>
          </w:p>
        </w:tc>
        <w:tc>
          <w:tcPr>
            <w:tcW w:w="5770" w:type="dxa"/>
            <w:tcBorders>
              <w:top w:val="nil"/>
              <w:left w:val="nil"/>
              <w:bottom w:val="nil"/>
              <w:right w:val="nil"/>
            </w:tcBorders>
          </w:tcPr>
          <w:p w14:paraId="4D94CE5C" w14:textId="77777777" w:rsidR="003F19FC" w:rsidRDefault="003F19FC" w:rsidP="003F19FC">
            <w:pPr>
              <w:spacing w:after="0" w:line="259" w:lineRule="auto"/>
              <w:ind w:left="0" w:firstLine="0"/>
            </w:pPr>
          </w:p>
        </w:tc>
      </w:tr>
      <w:tr w:rsidR="003F19FC" w14:paraId="1F399DB5" w14:textId="77777777" w:rsidTr="00E96DF1">
        <w:trPr>
          <w:trHeight w:val="293"/>
        </w:trPr>
        <w:tc>
          <w:tcPr>
            <w:tcW w:w="3600" w:type="dxa"/>
            <w:tcBorders>
              <w:top w:val="nil"/>
              <w:left w:val="nil"/>
              <w:bottom w:val="nil"/>
              <w:right w:val="nil"/>
            </w:tcBorders>
          </w:tcPr>
          <w:p w14:paraId="624EB513" w14:textId="77777777" w:rsidR="003F19FC" w:rsidRDefault="003F19FC" w:rsidP="003F19FC">
            <w:pPr>
              <w:tabs>
                <w:tab w:val="center" w:pos="2160"/>
                <w:tab w:val="center" w:pos="2880"/>
              </w:tabs>
              <w:spacing w:after="0" w:line="259" w:lineRule="auto"/>
              <w:ind w:left="0" w:firstLine="0"/>
            </w:pPr>
          </w:p>
        </w:tc>
        <w:tc>
          <w:tcPr>
            <w:tcW w:w="5770" w:type="dxa"/>
            <w:tcBorders>
              <w:top w:val="nil"/>
              <w:left w:val="nil"/>
              <w:bottom w:val="nil"/>
              <w:right w:val="nil"/>
            </w:tcBorders>
          </w:tcPr>
          <w:p w14:paraId="008591DE" w14:textId="77777777" w:rsidR="003F19FC" w:rsidRDefault="003F19FC" w:rsidP="003F19FC">
            <w:pPr>
              <w:tabs>
                <w:tab w:val="center" w:pos="3314"/>
              </w:tabs>
              <w:spacing w:after="0" w:line="259" w:lineRule="auto"/>
              <w:ind w:left="0" w:firstLine="0"/>
            </w:pPr>
          </w:p>
        </w:tc>
      </w:tr>
    </w:tbl>
    <w:p w14:paraId="0063FB1B" w14:textId="77777777" w:rsidR="00361D28" w:rsidRPr="00BF5107" w:rsidRDefault="004D35B9" w:rsidP="00BF5107">
      <w:pPr>
        <w:spacing w:after="0" w:line="259" w:lineRule="auto"/>
        <w:ind w:left="0" w:firstLine="0"/>
        <w:rPr>
          <w:b/>
          <w:u w:val="single"/>
        </w:rPr>
      </w:pPr>
      <w:r>
        <w:rPr>
          <w:b/>
          <w:u w:val="single"/>
        </w:rPr>
        <w:t xml:space="preserve">Payment Card </w:t>
      </w:r>
      <w:r w:rsidR="00191375" w:rsidRPr="00BF5107">
        <w:rPr>
          <w:b/>
          <w:u w:val="single"/>
        </w:rPr>
        <w:t>Security</w:t>
      </w:r>
      <w:r>
        <w:rPr>
          <w:b/>
          <w:u w:val="single"/>
        </w:rPr>
        <w:t xml:space="preserve"> </w:t>
      </w:r>
      <w:r w:rsidR="00191375" w:rsidRPr="00BF5107">
        <w:rPr>
          <w:b/>
          <w:u w:val="single"/>
        </w:rPr>
        <w:t>Incident Response Procedures</w:t>
      </w:r>
      <w:r w:rsidR="00191375" w:rsidRPr="00BF5107">
        <w:rPr>
          <w:b/>
          <w:u w:val="single" w:color="000000"/>
        </w:rPr>
        <w:t xml:space="preserve"> </w:t>
      </w:r>
    </w:p>
    <w:p w14:paraId="16A4EB54" w14:textId="77777777" w:rsidR="00361D28" w:rsidRDefault="00191375">
      <w:pPr>
        <w:spacing w:after="0" w:line="259" w:lineRule="auto"/>
        <w:ind w:left="112" w:firstLine="0"/>
      </w:pPr>
      <w:r>
        <w:t xml:space="preserve"> </w:t>
      </w:r>
    </w:p>
    <w:p w14:paraId="4FE4AD4D" w14:textId="77777777" w:rsidR="001D1B79" w:rsidRDefault="001D1B79" w:rsidP="001D1B79">
      <w:pPr>
        <w:spacing w:after="2" w:line="247" w:lineRule="auto"/>
        <w:jc w:val="both"/>
        <w:rPr>
          <w:b/>
        </w:rPr>
      </w:pPr>
      <w:r>
        <w:t>As a participant in the State Controller’s Master Services Agreement for Merchant Card Services, the participant is to consult first with the Office of the State Controller (OSC), and the</w:t>
      </w:r>
      <w:r w:rsidR="00EA3937">
        <w:t xml:space="preserve"> OSC shall make the appropriate</w:t>
      </w:r>
      <w:r>
        <w:t xml:space="preserve"> notifications on the agency’s </w:t>
      </w:r>
      <w:proofErr w:type="gramStart"/>
      <w:r>
        <w:t>behalf, or</w:t>
      </w:r>
      <w:proofErr w:type="gramEnd"/>
      <w:r>
        <w:t xml:space="preserve"> advise otherwise.</w:t>
      </w:r>
      <w:r>
        <w:rPr>
          <w:b/>
        </w:rPr>
        <w:t xml:space="preserve"> </w:t>
      </w:r>
    </w:p>
    <w:p w14:paraId="12D940E1" w14:textId="77777777" w:rsidR="001D1B79" w:rsidRDefault="001D1B79" w:rsidP="001D1B79">
      <w:pPr>
        <w:spacing w:after="2" w:line="247" w:lineRule="auto"/>
        <w:jc w:val="both"/>
        <w:rPr>
          <w:b/>
        </w:rPr>
      </w:pPr>
    </w:p>
    <w:p w14:paraId="339ABA33" w14:textId="77777777" w:rsidR="001D1B79" w:rsidRDefault="004530DB" w:rsidP="001D1B79">
      <w:pPr>
        <w:numPr>
          <w:ilvl w:val="0"/>
          <w:numId w:val="3"/>
        </w:numPr>
        <w:ind w:hanging="360"/>
      </w:pPr>
      <w:r>
        <w:t>The WCU Controller’s Office shall n</w:t>
      </w:r>
      <w:r w:rsidR="001D1B79">
        <w:t>otify the Office of the State Controller within 24 hours of a known or suspected security breach.</w:t>
      </w:r>
    </w:p>
    <w:p w14:paraId="51E614C9" w14:textId="77777777" w:rsidR="001D1B79" w:rsidRPr="001D1B79" w:rsidRDefault="001D1B79" w:rsidP="001D1B79">
      <w:pPr>
        <w:numPr>
          <w:ilvl w:val="0"/>
          <w:numId w:val="3"/>
        </w:numPr>
        <w:ind w:hanging="360"/>
      </w:pPr>
      <w:r>
        <w:t xml:space="preserve">When reporting a security incident to the OSC, all pertinent details of the incident are to be provided to assist the OSC in </w:t>
      </w:r>
      <w:proofErr w:type="gramStart"/>
      <w:r>
        <w:t>making an assessment of</w:t>
      </w:r>
      <w:proofErr w:type="gramEnd"/>
      <w:r>
        <w:t xml:space="preserve"> the seriousness and extent of the incident. Any credit card data provided to the OSC as part of the assessment process shall be transmitted in a secure encrypted manner.</w:t>
      </w:r>
      <w:r w:rsidRPr="001D1B79">
        <w:t xml:space="preserve"> </w:t>
      </w:r>
    </w:p>
    <w:p w14:paraId="02B85032" w14:textId="77777777" w:rsidR="001D1B79" w:rsidRDefault="001D1B79" w:rsidP="001D1B79">
      <w:pPr>
        <w:numPr>
          <w:ilvl w:val="0"/>
          <w:numId w:val="3"/>
        </w:numPr>
        <w:ind w:hanging="360"/>
      </w:pPr>
      <w:r>
        <w:t xml:space="preserve">Whenever a press release regarding the occurrence of a security breach is warranted, the OSC should be consulted first, </w:t>
      </w:r>
      <w:proofErr w:type="gramStart"/>
      <w:r>
        <w:t>in order to</w:t>
      </w:r>
      <w:proofErr w:type="gramEnd"/>
      <w:r>
        <w:t xml:space="preserve"> coordinate the timing of the release with any other notifications that may be required.</w:t>
      </w:r>
      <w:r w:rsidRPr="001D1B79">
        <w:t xml:space="preserve"> </w:t>
      </w:r>
    </w:p>
    <w:p w14:paraId="73E9343A" w14:textId="77777777" w:rsidR="001D1B79" w:rsidRDefault="001D1B79" w:rsidP="00453731">
      <w:pPr>
        <w:numPr>
          <w:ilvl w:val="0"/>
          <w:numId w:val="3"/>
        </w:numPr>
        <w:ind w:hanging="293"/>
      </w:pPr>
      <w:r>
        <w:t>In cases where a security incident is required to be r</w:t>
      </w:r>
      <w:r w:rsidR="0037637C">
        <w:t>eported to the card brands</w:t>
      </w:r>
      <w:r>
        <w:t>, the</w:t>
      </w:r>
      <w:r w:rsidR="0037637C">
        <w:t>y</w:t>
      </w:r>
      <w:r>
        <w:t xml:space="preserve"> may require a forensic investigation to be performed by a Qualified Security Accessor (QSA).  </w:t>
      </w:r>
      <w:r w:rsidR="00AD4FEF">
        <w:t>WCU will</w:t>
      </w:r>
      <w:r w:rsidR="004530DB">
        <w:t xml:space="preserve"> first use the QSA that the OSC has</w:t>
      </w:r>
      <w:r>
        <w:t xml:space="preserve"> a contract </w:t>
      </w:r>
      <w:r w:rsidR="00AD4FEF">
        <w:t>with to provide such services. WCU is</w:t>
      </w:r>
      <w:r>
        <w:t xml:space="preserve"> responsible for the costs of any forensic services provided.</w:t>
      </w:r>
      <w:r w:rsidRPr="001D1B79">
        <w:t xml:space="preserve"> </w:t>
      </w:r>
    </w:p>
    <w:p w14:paraId="54857967" w14:textId="77777777" w:rsidR="001D1B79" w:rsidRDefault="001D1B79">
      <w:pPr>
        <w:ind w:left="110"/>
      </w:pPr>
    </w:p>
    <w:p w14:paraId="1F8F3737" w14:textId="77777777" w:rsidR="00361D28" w:rsidRDefault="001D1B79" w:rsidP="00453731">
      <w:pPr>
        <w:ind w:left="110" w:firstLine="0"/>
      </w:pPr>
      <w:r>
        <w:t>Additionally, i</w:t>
      </w:r>
      <w:r w:rsidR="00191375">
        <w:t xml:space="preserve">n response to a systems compromise, the PCI Response Team and designees will: </w:t>
      </w:r>
    </w:p>
    <w:p w14:paraId="544607CE" w14:textId="77777777" w:rsidR="00361D28" w:rsidRDefault="00191375">
      <w:pPr>
        <w:spacing w:after="0" w:line="259" w:lineRule="auto"/>
        <w:ind w:left="112" w:firstLine="0"/>
      </w:pPr>
      <w:r>
        <w:t xml:space="preserve"> </w:t>
      </w:r>
    </w:p>
    <w:p w14:paraId="1DA646F9" w14:textId="77777777" w:rsidR="00361D28" w:rsidRDefault="00191375" w:rsidP="001D1B79">
      <w:pPr>
        <w:pStyle w:val="ListParagraph"/>
        <w:numPr>
          <w:ilvl w:val="0"/>
          <w:numId w:val="24"/>
        </w:numPr>
      </w:pPr>
      <w:r>
        <w:t xml:space="preserve">Ensure compromised system/s is isolated on/from the </w:t>
      </w:r>
      <w:proofErr w:type="gramStart"/>
      <w:r>
        <w:t>network</w:t>
      </w:r>
      <w:r w:rsidR="001D1B79">
        <w:t>;</w:t>
      </w:r>
      <w:proofErr w:type="gramEnd"/>
      <w:r>
        <w:t xml:space="preserve"> </w:t>
      </w:r>
    </w:p>
    <w:p w14:paraId="0EFD8FD5" w14:textId="77777777" w:rsidR="00361D28" w:rsidRDefault="00191375" w:rsidP="001D1B79">
      <w:pPr>
        <w:numPr>
          <w:ilvl w:val="0"/>
          <w:numId w:val="24"/>
        </w:numPr>
      </w:pPr>
      <w:r>
        <w:t>Gather, review and analyze the logs and related information from various central and local s</w:t>
      </w:r>
      <w:r w:rsidR="001D1B79">
        <w:t xml:space="preserve">afeguards and security </w:t>
      </w:r>
      <w:proofErr w:type="gramStart"/>
      <w:r w:rsidR="001D1B79">
        <w:t>controls;</w:t>
      </w:r>
      <w:proofErr w:type="gramEnd"/>
    </w:p>
    <w:p w14:paraId="30839BE5" w14:textId="77777777" w:rsidR="00361D28" w:rsidRDefault="001D1B79" w:rsidP="001D1B79">
      <w:pPr>
        <w:numPr>
          <w:ilvl w:val="0"/>
          <w:numId w:val="24"/>
        </w:numPr>
      </w:pPr>
      <w:r>
        <w:t>Assist the QSA in c</w:t>
      </w:r>
      <w:r w:rsidR="00191375">
        <w:t>onduct</w:t>
      </w:r>
      <w:r>
        <w:t>ing</w:t>
      </w:r>
      <w:r w:rsidR="00191375">
        <w:t xml:space="preserve"> appropriate forensic </w:t>
      </w:r>
      <w:r>
        <w:t xml:space="preserve">analysis of compromised </w:t>
      </w:r>
      <w:proofErr w:type="gramStart"/>
      <w:r>
        <w:t>system;</w:t>
      </w:r>
      <w:proofErr w:type="gramEnd"/>
    </w:p>
    <w:p w14:paraId="44007EE7" w14:textId="77777777" w:rsidR="00361D28" w:rsidRDefault="00191375" w:rsidP="001D1B79">
      <w:pPr>
        <w:numPr>
          <w:ilvl w:val="0"/>
          <w:numId w:val="24"/>
        </w:numPr>
      </w:pPr>
      <w:r>
        <w:t xml:space="preserve">Make forensic and log analysis available to appropriate law enforcement or card industry </w:t>
      </w:r>
      <w:r w:rsidR="001D1B79">
        <w:t xml:space="preserve">security personnel, as </w:t>
      </w:r>
      <w:proofErr w:type="gramStart"/>
      <w:r w:rsidR="001D1B79">
        <w:t>required;</w:t>
      </w:r>
      <w:proofErr w:type="gramEnd"/>
      <w:r>
        <w:t xml:space="preserve"> </w:t>
      </w:r>
    </w:p>
    <w:p w14:paraId="62112E2C" w14:textId="77777777" w:rsidR="00361D28" w:rsidRDefault="00191375" w:rsidP="001D1B79">
      <w:pPr>
        <w:numPr>
          <w:ilvl w:val="0"/>
          <w:numId w:val="24"/>
        </w:numPr>
      </w:pPr>
      <w:r>
        <w:t xml:space="preserve">Assist law enforcement and card industry security personnel in investigative processes, including in prosecutions. </w:t>
      </w:r>
    </w:p>
    <w:p w14:paraId="4825280C" w14:textId="77777777" w:rsidR="003D1D9F" w:rsidRDefault="003D1D9F" w:rsidP="003D1D9F">
      <w:pPr>
        <w:ind w:left="830" w:firstLine="0"/>
      </w:pPr>
    </w:p>
    <w:p w14:paraId="547E3AEF" w14:textId="77777777" w:rsidR="003D1D9F" w:rsidRDefault="003D1D9F" w:rsidP="003D1D9F">
      <w:pPr>
        <w:ind w:left="830" w:firstLine="0"/>
      </w:pPr>
    </w:p>
    <w:p w14:paraId="09A7D638" w14:textId="77777777" w:rsidR="003D1D9F" w:rsidRDefault="003D1D9F" w:rsidP="003D1D9F">
      <w:pPr>
        <w:ind w:hanging="32"/>
      </w:pPr>
      <w:r>
        <w:t>Response to incidents detected by the IT Division:</w:t>
      </w:r>
    </w:p>
    <w:p w14:paraId="06D1CB55" w14:textId="77777777" w:rsidR="003D1D9F" w:rsidRDefault="003D1D9F" w:rsidP="003D1D9F">
      <w:pPr>
        <w:ind w:firstLine="348"/>
      </w:pPr>
    </w:p>
    <w:p w14:paraId="39723D11" w14:textId="77777777" w:rsidR="003D1D9F" w:rsidRDefault="003D1D9F" w:rsidP="003D1D9F">
      <w:pPr>
        <w:pStyle w:val="ListParagraph"/>
        <w:numPr>
          <w:ilvl w:val="0"/>
          <w:numId w:val="26"/>
        </w:numPr>
        <w:ind w:left="810"/>
      </w:pPr>
      <w:r>
        <w:t>Detection of unauthorized wireless access points</w:t>
      </w:r>
      <w:r w:rsidR="004530DB">
        <w:t>: The Networking Department of the IT Division will investigate the alert by tracking down the location of the access point and logging the time it first appeared on the network and the duration if applicable. They will disable the access point once enough information has been gathered from the device. Once the information has been reported t</w:t>
      </w:r>
      <w:r w:rsidR="00FF5080">
        <w:t xml:space="preserve">o the PCI Response </w:t>
      </w:r>
      <w:proofErr w:type="gramStart"/>
      <w:r w:rsidR="00FF5080">
        <w:t>Team</w:t>
      </w:r>
      <w:proofErr w:type="gramEnd"/>
      <w:r w:rsidR="00FF5080">
        <w:t xml:space="preserve"> they</w:t>
      </w:r>
      <w:r w:rsidR="004530DB">
        <w:t xml:space="preserve"> will investigate </w:t>
      </w:r>
      <w:r w:rsidR="00FA6C9C">
        <w:t>the incident with the department where the access point was located.</w:t>
      </w:r>
    </w:p>
    <w:p w14:paraId="6E9D9010" w14:textId="77777777" w:rsidR="003D1D9F" w:rsidRDefault="003D1D9F" w:rsidP="00EA04C5">
      <w:pPr>
        <w:pStyle w:val="ListParagraph"/>
        <w:numPr>
          <w:ilvl w:val="0"/>
          <w:numId w:val="26"/>
        </w:numPr>
        <w:ind w:left="810"/>
      </w:pPr>
      <w:r>
        <w:t>Alerts generated by the change-detection systems or log monitoring systems</w:t>
      </w:r>
      <w:r w:rsidR="00FA6C9C">
        <w:t xml:space="preserve">: Depending on the nature of the alert a team within the IT Division will investigate the details and assess the threat to the cardholder data environment. If the alerts indicate a security incident has </w:t>
      </w:r>
      <w:proofErr w:type="gramStart"/>
      <w:r w:rsidR="00FA6C9C">
        <w:t>occurred</w:t>
      </w:r>
      <w:proofErr w:type="gramEnd"/>
      <w:r w:rsidR="00FA6C9C">
        <w:t xml:space="preserve"> they will report the findings to the PCI Response Team and assist with further investigation and mitigation of the risk.</w:t>
      </w:r>
    </w:p>
    <w:sectPr w:rsidR="003D1D9F" w:rsidSect="00EA04C5">
      <w:headerReference w:type="default" r:id="rId15"/>
      <w:footerReference w:type="even" r:id="rId16"/>
      <w:footerReference w:type="default" r:id="rId17"/>
      <w:footerReference w:type="first" r:id="rId18"/>
      <w:footnotePr>
        <w:numRestart w:val="eachPage"/>
      </w:footnotePr>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8E6B" w14:textId="77777777" w:rsidR="007F5365" w:rsidRDefault="007F5365">
      <w:pPr>
        <w:spacing w:after="0" w:line="240" w:lineRule="auto"/>
      </w:pPr>
      <w:r>
        <w:separator/>
      </w:r>
    </w:p>
  </w:endnote>
  <w:endnote w:type="continuationSeparator" w:id="0">
    <w:p w14:paraId="2ECD481B" w14:textId="77777777" w:rsidR="007F5365" w:rsidRDefault="007F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7D5F" w14:textId="77777777" w:rsidR="00361D28" w:rsidRDefault="00191375">
    <w:pPr>
      <w:spacing w:after="0" w:line="259" w:lineRule="auto"/>
      <w:ind w:left="111" w:firstLine="0"/>
    </w:pPr>
    <w:r>
      <w:rPr>
        <w:b/>
      </w:rPr>
      <w:t xml:space="preserve"> </w:t>
    </w:r>
  </w:p>
  <w:p w14:paraId="597D887E" w14:textId="77777777" w:rsidR="00361D28" w:rsidRDefault="00191375">
    <w:pPr>
      <w:spacing w:after="0" w:line="259" w:lineRule="auto"/>
      <w:ind w:left="111" w:firstLine="0"/>
    </w:pPr>
    <w:r>
      <w:rPr>
        <w:b/>
      </w:rPr>
      <w:t xml:space="preserve"> </w:t>
    </w:r>
  </w:p>
  <w:p w14:paraId="3FEA21AA" w14:textId="77777777" w:rsidR="00361D28" w:rsidRDefault="00191375">
    <w:pPr>
      <w:spacing w:after="0" w:line="259" w:lineRule="auto"/>
      <w:ind w:left="111" w:firstLine="0"/>
    </w:pPr>
    <w:r>
      <w:rPr>
        <w:b/>
      </w:rPr>
      <w:t xml:space="preserve"> </w:t>
    </w:r>
  </w:p>
  <w:p w14:paraId="141A5313" w14:textId="77777777" w:rsidR="00361D28" w:rsidRDefault="00191375">
    <w:pPr>
      <w:spacing w:after="680" w:line="259" w:lineRule="auto"/>
      <w:ind w:left="111" w:firstLine="0"/>
    </w:pPr>
    <w:r>
      <w:rPr>
        <w:b/>
      </w:rPr>
      <w:t xml:space="preserve"> </w:t>
    </w:r>
  </w:p>
  <w:p w14:paraId="50F1AAFC" w14:textId="77777777" w:rsidR="00361D28" w:rsidRDefault="00191375">
    <w:pPr>
      <w:tabs>
        <w:tab w:val="center" w:pos="4432"/>
        <w:tab w:val="center" w:pos="7678"/>
      </w:tabs>
      <w:spacing w:after="0" w:line="259" w:lineRule="auto"/>
      <w:ind w:left="0" w:firstLine="0"/>
    </w:pPr>
    <w:r>
      <w:t xml:space="preserve">UNM PCI Incident Response Plan V1.2 </w:t>
    </w:r>
    <w:r>
      <w:tab/>
      <w:t xml:space="preserve"> </w:t>
    </w:r>
    <w:r>
      <w:tab/>
      <w:t xml:space="preserve">Last Updated: </w:t>
    </w:r>
    <w:proofErr w:type="gramStart"/>
    <w:r>
      <w:t>6/14/13</w:t>
    </w:r>
    <w:proofErr w:type="gramEn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AD47" w14:textId="77777777" w:rsidR="00361D28" w:rsidRDefault="00361D28">
    <w:pPr>
      <w:tabs>
        <w:tab w:val="center" w:pos="4432"/>
        <w:tab w:val="center" w:pos="7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8E90" w14:textId="77777777" w:rsidR="00361D28" w:rsidRDefault="00191375">
    <w:pPr>
      <w:spacing w:after="0" w:line="259" w:lineRule="auto"/>
      <w:ind w:left="111" w:firstLine="0"/>
    </w:pPr>
    <w:r>
      <w:rPr>
        <w:b/>
      </w:rPr>
      <w:t xml:space="preserve"> </w:t>
    </w:r>
  </w:p>
  <w:p w14:paraId="2D0AFC49" w14:textId="77777777" w:rsidR="00361D28" w:rsidRDefault="00191375">
    <w:pPr>
      <w:spacing w:after="0" w:line="259" w:lineRule="auto"/>
      <w:ind w:left="111" w:firstLine="0"/>
    </w:pPr>
    <w:r>
      <w:rPr>
        <w:b/>
      </w:rPr>
      <w:t xml:space="preserve"> </w:t>
    </w:r>
  </w:p>
  <w:p w14:paraId="197D4B6C" w14:textId="77777777" w:rsidR="00361D28" w:rsidRDefault="00191375">
    <w:pPr>
      <w:spacing w:after="0" w:line="259" w:lineRule="auto"/>
      <w:ind w:left="111" w:firstLine="0"/>
    </w:pPr>
    <w:r>
      <w:rPr>
        <w:b/>
      </w:rPr>
      <w:t xml:space="preserve"> </w:t>
    </w:r>
  </w:p>
  <w:p w14:paraId="76C32BF9" w14:textId="77777777" w:rsidR="00361D28" w:rsidRDefault="00191375">
    <w:pPr>
      <w:spacing w:after="680" w:line="259" w:lineRule="auto"/>
      <w:ind w:left="111" w:firstLine="0"/>
    </w:pPr>
    <w:r>
      <w:rPr>
        <w:b/>
      </w:rPr>
      <w:t xml:space="preserve"> </w:t>
    </w:r>
  </w:p>
  <w:p w14:paraId="387AE312" w14:textId="77777777" w:rsidR="00361D28" w:rsidRDefault="00191375">
    <w:pPr>
      <w:tabs>
        <w:tab w:val="center" w:pos="4432"/>
        <w:tab w:val="center" w:pos="7678"/>
      </w:tabs>
      <w:spacing w:after="0" w:line="259" w:lineRule="auto"/>
      <w:ind w:left="0" w:firstLine="0"/>
    </w:pPr>
    <w:r>
      <w:t xml:space="preserve">UNM PCI Incident Response Plan V1.2 </w:t>
    </w:r>
    <w:r>
      <w:tab/>
      <w:t xml:space="preserve"> </w:t>
    </w:r>
    <w:r>
      <w:tab/>
      <w:t xml:space="preserve">Last Updated: </w:t>
    </w:r>
    <w:proofErr w:type="gramStart"/>
    <w:r>
      <w:t>6/14/13</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E53F" w14:textId="77777777" w:rsidR="007F5365" w:rsidRDefault="007F5365">
      <w:pPr>
        <w:spacing w:after="0" w:line="258" w:lineRule="auto"/>
        <w:ind w:left="112" w:firstLine="0"/>
      </w:pPr>
      <w:r>
        <w:separator/>
      </w:r>
    </w:p>
  </w:footnote>
  <w:footnote w:type="continuationSeparator" w:id="0">
    <w:p w14:paraId="1F53A276" w14:textId="77777777" w:rsidR="007F5365" w:rsidRDefault="007F5365">
      <w:pPr>
        <w:spacing w:after="0" w:line="258" w:lineRule="auto"/>
        <w:ind w:left="11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B84A" w14:textId="77777777" w:rsidR="00CC09A8" w:rsidRDefault="00CC09A8" w:rsidP="00CC09A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E18"/>
    <w:multiLevelType w:val="hybridMultilevel"/>
    <w:tmpl w:val="CE24E0F2"/>
    <w:lvl w:ilvl="0" w:tplc="40E8972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4D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AEE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EDE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C1B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EDD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692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A09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63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273B7"/>
    <w:multiLevelType w:val="hybridMultilevel"/>
    <w:tmpl w:val="1812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871"/>
    <w:multiLevelType w:val="hybridMultilevel"/>
    <w:tmpl w:val="275A0DF2"/>
    <w:lvl w:ilvl="0" w:tplc="C462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829B3"/>
    <w:multiLevelType w:val="hybridMultilevel"/>
    <w:tmpl w:val="DD9652D6"/>
    <w:lvl w:ilvl="0" w:tplc="4EB84168">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5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00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A8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C2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CD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CD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64E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04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D5147"/>
    <w:multiLevelType w:val="hybridMultilevel"/>
    <w:tmpl w:val="93E8AEF2"/>
    <w:lvl w:ilvl="0" w:tplc="FE5818F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EFBD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46F7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910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ED6D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1EA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A807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F30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ABA3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0672D8"/>
    <w:multiLevelType w:val="hybridMultilevel"/>
    <w:tmpl w:val="30849720"/>
    <w:lvl w:ilvl="0" w:tplc="51D4886E">
      <w:start w:val="7"/>
      <w:numFmt w:val="upperRoman"/>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25B5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C087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0BA6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EF5C6">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9946">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C07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67BF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0759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915AF"/>
    <w:multiLevelType w:val="hybridMultilevel"/>
    <w:tmpl w:val="3CAAB4B2"/>
    <w:lvl w:ilvl="0" w:tplc="C26E894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C3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C7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E9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C8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9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FC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68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8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015900"/>
    <w:multiLevelType w:val="hybridMultilevel"/>
    <w:tmpl w:val="1FEC29C0"/>
    <w:lvl w:ilvl="0" w:tplc="217025B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2C26C76">
      <w:start w:val="1"/>
      <w:numFmt w:val="bullet"/>
      <w:lvlText w:val="o"/>
      <w:lvlJc w:val="left"/>
      <w:pPr>
        <w:ind w:left="1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AEF71C">
      <w:start w:val="1"/>
      <w:numFmt w:val="bullet"/>
      <w:lvlRestart w:val="0"/>
      <w:lvlText w:val="o"/>
      <w:lvlJc w:val="left"/>
      <w:pPr>
        <w:ind w:left="22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BEEFD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0015B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B547BB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2A85C1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7C7A9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22AE56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703AC7"/>
    <w:multiLevelType w:val="hybridMultilevel"/>
    <w:tmpl w:val="6D2E1F4E"/>
    <w:lvl w:ilvl="0" w:tplc="7B5E257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6ABA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67E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E72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8774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AA87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4DE5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8564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4047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E33779"/>
    <w:multiLevelType w:val="hybridMultilevel"/>
    <w:tmpl w:val="B15E0096"/>
    <w:lvl w:ilvl="0" w:tplc="E73EC356">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AE07C">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8BEAA">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E319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44D96">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A177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6E69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6D69E">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C8FAC">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6308C9"/>
    <w:multiLevelType w:val="hybridMultilevel"/>
    <w:tmpl w:val="AC3C2B82"/>
    <w:lvl w:ilvl="0" w:tplc="973C7B6C">
      <w:start w:val="1"/>
      <w:numFmt w:val="bullet"/>
      <w:lvlText w:val=""/>
      <w:lvlJc w:val="left"/>
      <w:pPr>
        <w:ind w:left="99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A72EB5E">
      <w:start w:val="1"/>
      <w:numFmt w:val="bullet"/>
      <w:lvlText w:val="o"/>
      <w:lvlJc w:val="left"/>
      <w:pPr>
        <w:ind w:left="171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9705330">
      <w:start w:val="1"/>
      <w:numFmt w:val="bullet"/>
      <w:lvlText w:val="▪"/>
      <w:lvlJc w:val="left"/>
      <w:pPr>
        <w:ind w:left="243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B81C791C">
      <w:start w:val="1"/>
      <w:numFmt w:val="bullet"/>
      <w:lvlText w:val="•"/>
      <w:lvlJc w:val="left"/>
      <w:pPr>
        <w:ind w:left="315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53EC826">
      <w:start w:val="1"/>
      <w:numFmt w:val="bullet"/>
      <w:lvlText w:val="o"/>
      <w:lvlJc w:val="left"/>
      <w:pPr>
        <w:ind w:left="387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E9DA080C">
      <w:start w:val="1"/>
      <w:numFmt w:val="bullet"/>
      <w:lvlText w:val="▪"/>
      <w:lvlJc w:val="left"/>
      <w:pPr>
        <w:ind w:left="459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BD43622">
      <w:start w:val="1"/>
      <w:numFmt w:val="bullet"/>
      <w:lvlText w:val="•"/>
      <w:lvlJc w:val="left"/>
      <w:pPr>
        <w:ind w:left="531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27470B0">
      <w:start w:val="1"/>
      <w:numFmt w:val="bullet"/>
      <w:lvlText w:val="o"/>
      <w:lvlJc w:val="left"/>
      <w:pPr>
        <w:ind w:left="603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4AE4800">
      <w:start w:val="1"/>
      <w:numFmt w:val="bullet"/>
      <w:lvlText w:val="▪"/>
      <w:lvlJc w:val="left"/>
      <w:pPr>
        <w:ind w:left="675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36120651"/>
    <w:multiLevelType w:val="hybridMultilevel"/>
    <w:tmpl w:val="E1AE7236"/>
    <w:lvl w:ilvl="0" w:tplc="0DEEE2A0">
      <w:start w:val="1"/>
      <w:numFmt w:val="decimal"/>
      <w:lvlText w:val="%1."/>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2733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2EB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6D00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89BD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CE2E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BEF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86AF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E744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F06602"/>
    <w:multiLevelType w:val="hybridMultilevel"/>
    <w:tmpl w:val="75A0FFEC"/>
    <w:lvl w:ilvl="0" w:tplc="94D88C2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FBA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8D1D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47062">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8AAB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63D8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A1B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CCB1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AEDD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E1722E"/>
    <w:multiLevelType w:val="hybridMultilevel"/>
    <w:tmpl w:val="51A226A6"/>
    <w:lvl w:ilvl="0" w:tplc="FFC2710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4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2A0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4C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C3F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6D5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4EF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847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8E9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214949"/>
    <w:multiLevelType w:val="hybridMultilevel"/>
    <w:tmpl w:val="80FA65BC"/>
    <w:lvl w:ilvl="0" w:tplc="63F87C96">
      <w:start w:val="1"/>
      <w:numFmt w:val="upperRoman"/>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A12F8">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860C8">
      <w:start w:val="1"/>
      <w:numFmt w:val="bullet"/>
      <w:lvlText w:val="•"/>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42529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8AAB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2EC02">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52B418">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66996">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C40362">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3024FB"/>
    <w:multiLevelType w:val="hybridMultilevel"/>
    <w:tmpl w:val="B5F62F72"/>
    <w:lvl w:ilvl="0" w:tplc="973C7B6C">
      <w:start w:val="1"/>
      <w:numFmt w:val="bullet"/>
      <w:lvlText w:val=""/>
      <w:lvlJc w:val="left"/>
      <w:pPr>
        <w:ind w:left="11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15:restartNumberingAfterBreak="0">
    <w:nsid w:val="54132D7E"/>
    <w:multiLevelType w:val="hybridMultilevel"/>
    <w:tmpl w:val="E076C612"/>
    <w:lvl w:ilvl="0" w:tplc="3E9C529A">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7572">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A847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2FB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8D56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E57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E1D2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E71A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65E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8713DF"/>
    <w:multiLevelType w:val="hybridMultilevel"/>
    <w:tmpl w:val="75A0FFEC"/>
    <w:lvl w:ilvl="0" w:tplc="94D88C2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FBA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8D1D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47062">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8AAB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63D8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A1B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CCB1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AEDD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D934FA"/>
    <w:multiLevelType w:val="hybridMultilevel"/>
    <w:tmpl w:val="47F4D7EE"/>
    <w:lvl w:ilvl="0" w:tplc="4738911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E4438E">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80473A">
      <w:start w:val="1"/>
      <w:numFmt w:val="bullet"/>
      <w:lvlText w:val="▪"/>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18758E">
      <w:start w:val="1"/>
      <w:numFmt w:val="bullet"/>
      <w:lvlRestart w:val="0"/>
      <w:lvlText w:val=""/>
      <w:lvlJc w:val="left"/>
      <w:pPr>
        <w:ind w:left="2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56856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BEB86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36946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67B0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7A866C">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152892"/>
    <w:multiLevelType w:val="hybridMultilevel"/>
    <w:tmpl w:val="40E850B0"/>
    <w:lvl w:ilvl="0" w:tplc="EBC69D4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A90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69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E6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56E2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46E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8A8A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C1A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541E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DC0C5F"/>
    <w:multiLevelType w:val="hybridMultilevel"/>
    <w:tmpl w:val="B7B8BE22"/>
    <w:lvl w:ilvl="0" w:tplc="94D88C2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shd w:val="clear" w:color="auto" w:fill="auto"/>
        <w:vertAlign w:val="baseline"/>
      </w:rPr>
    </w:lvl>
    <w:lvl w:ilvl="1" w:tplc="7A72EB5E">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9705330">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B81C791C">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53EC826">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E9DA080C">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BD43622">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27470B0">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4AE4800">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3310B4A"/>
    <w:multiLevelType w:val="hybridMultilevel"/>
    <w:tmpl w:val="6B6C7482"/>
    <w:lvl w:ilvl="0" w:tplc="1DBC26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8C1900"/>
    <w:multiLevelType w:val="hybridMultilevel"/>
    <w:tmpl w:val="75A0FFEC"/>
    <w:lvl w:ilvl="0" w:tplc="94D88C2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FBA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8D1D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47062">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8AAB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63D8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A1B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CCB1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AEDD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114DAB"/>
    <w:multiLevelType w:val="hybridMultilevel"/>
    <w:tmpl w:val="D08AB3E0"/>
    <w:lvl w:ilvl="0" w:tplc="70E22278">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77944D51"/>
    <w:multiLevelType w:val="hybridMultilevel"/>
    <w:tmpl w:val="D152ABFA"/>
    <w:lvl w:ilvl="0" w:tplc="94D88C24">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16cid:durableId="1581327377">
    <w:abstractNumId w:val="22"/>
  </w:num>
  <w:num w:numId="2" w16cid:durableId="2131625809">
    <w:abstractNumId w:val="13"/>
  </w:num>
  <w:num w:numId="3" w16cid:durableId="469058426">
    <w:abstractNumId w:val="8"/>
  </w:num>
  <w:num w:numId="4" w16cid:durableId="625623098">
    <w:abstractNumId w:val="0"/>
  </w:num>
  <w:num w:numId="5" w16cid:durableId="697853443">
    <w:abstractNumId w:val="11"/>
  </w:num>
  <w:num w:numId="6" w16cid:durableId="1477527711">
    <w:abstractNumId w:val="19"/>
  </w:num>
  <w:num w:numId="7" w16cid:durableId="970864936">
    <w:abstractNumId w:val="16"/>
  </w:num>
  <w:num w:numId="8" w16cid:durableId="363135792">
    <w:abstractNumId w:val="18"/>
  </w:num>
  <w:num w:numId="9" w16cid:durableId="1606499013">
    <w:abstractNumId w:val="7"/>
  </w:num>
  <w:num w:numId="10" w16cid:durableId="632297695">
    <w:abstractNumId w:val="4"/>
  </w:num>
  <w:num w:numId="11" w16cid:durableId="1720939056">
    <w:abstractNumId w:val="9"/>
  </w:num>
  <w:num w:numId="12" w16cid:durableId="1618488084">
    <w:abstractNumId w:val="6"/>
  </w:num>
  <w:num w:numId="13" w16cid:durableId="1593776478">
    <w:abstractNumId w:val="3"/>
  </w:num>
  <w:num w:numId="14" w16cid:durableId="778337693">
    <w:abstractNumId w:val="14"/>
  </w:num>
  <w:num w:numId="15" w16cid:durableId="782529849">
    <w:abstractNumId w:val="5"/>
  </w:num>
  <w:num w:numId="16" w16cid:durableId="78913378">
    <w:abstractNumId w:val="10"/>
  </w:num>
  <w:num w:numId="17" w16cid:durableId="1735352026">
    <w:abstractNumId w:val="10"/>
  </w:num>
  <w:num w:numId="18" w16cid:durableId="1886257681">
    <w:abstractNumId w:val="21"/>
  </w:num>
  <w:num w:numId="19" w16cid:durableId="1631470009">
    <w:abstractNumId w:val="1"/>
  </w:num>
  <w:num w:numId="20" w16cid:durableId="549732997">
    <w:abstractNumId w:val="15"/>
  </w:num>
  <w:num w:numId="21" w16cid:durableId="188496294">
    <w:abstractNumId w:val="12"/>
  </w:num>
  <w:num w:numId="22" w16cid:durableId="535847007">
    <w:abstractNumId w:val="24"/>
  </w:num>
  <w:num w:numId="23" w16cid:durableId="1725524814">
    <w:abstractNumId w:val="20"/>
  </w:num>
  <w:num w:numId="24" w16cid:durableId="1322196289">
    <w:abstractNumId w:val="23"/>
  </w:num>
  <w:num w:numId="25" w16cid:durableId="1378433972">
    <w:abstractNumId w:val="17"/>
  </w:num>
  <w:num w:numId="26" w16cid:durableId="1866475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8"/>
    <w:rsid w:val="000E52BF"/>
    <w:rsid w:val="00145D50"/>
    <w:rsid w:val="00191375"/>
    <w:rsid w:val="001A0D80"/>
    <w:rsid w:val="001B0568"/>
    <w:rsid w:val="001C2218"/>
    <w:rsid w:val="001D1B79"/>
    <w:rsid w:val="002875BA"/>
    <w:rsid w:val="003272C7"/>
    <w:rsid w:val="00361D28"/>
    <w:rsid w:val="003645D0"/>
    <w:rsid w:val="0037637C"/>
    <w:rsid w:val="003D1D9F"/>
    <w:rsid w:val="003F19FC"/>
    <w:rsid w:val="0042647E"/>
    <w:rsid w:val="004530DB"/>
    <w:rsid w:val="00453731"/>
    <w:rsid w:val="0046107F"/>
    <w:rsid w:val="004925A7"/>
    <w:rsid w:val="004D35B9"/>
    <w:rsid w:val="005D5E82"/>
    <w:rsid w:val="005E7EB2"/>
    <w:rsid w:val="00604582"/>
    <w:rsid w:val="00655A31"/>
    <w:rsid w:val="00655F7C"/>
    <w:rsid w:val="006A4D6C"/>
    <w:rsid w:val="006B4467"/>
    <w:rsid w:val="007179CE"/>
    <w:rsid w:val="00721569"/>
    <w:rsid w:val="007501D9"/>
    <w:rsid w:val="007F14CE"/>
    <w:rsid w:val="007F5365"/>
    <w:rsid w:val="007F7DA9"/>
    <w:rsid w:val="009D39F1"/>
    <w:rsid w:val="009E18D8"/>
    <w:rsid w:val="009F23F5"/>
    <w:rsid w:val="00A32D7F"/>
    <w:rsid w:val="00A4793B"/>
    <w:rsid w:val="00A52756"/>
    <w:rsid w:val="00A84ED6"/>
    <w:rsid w:val="00A86244"/>
    <w:rsid w:val="00AD4FEF"/>
    <w:rsid w:val="00B07F42"/>
    <w:rsid w:val="00B64469"/>
    <w:rsid w:val="00B67CB0"/>
    <w:rsid w:val="00BF5107"/>
    <w:rsid w:val="00C13E9A"/>
    <w:rsid w:val="00CC09A8"/>
    <w:rsid w:val="00CD4FA3"/>
    <w:rsid w:val="00CF0E9F"/>
    <w:rsid w:val="00D018D7"/>
    <w:rsid w:val="00DA7B4D"/>
    <w:rsid w:val="00E37AE5"/>
    <w:rsid w:val="00E92868"/>
    <w:rsid w:val="00E96DF1"/>
    <w:rsid w:val="00EA04C5"/>
    <w:rsid w:val="00EA3937"/>
    <w:rsid w:val="00FA6C9C"/>
    <w:rsid w:val="00FF5080"/>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DF0E1"/>
  <w15:docId w15:val="{B7B7A979-CBCE-4801-AE65-EC4634D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2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2"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2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58" w:lineRule="auto"/>
      <w:ind w:left="112"/>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FC"/>
    <w:rPr>
      <w:rFonts w:ascii="Times New Roman" w:eastAsia="Times New Roman" w:hAnsi="Times New Roman" w:cs="Times New Roman"/>
      <w:color w:val="000000"/>
      <w:sz w:val="24"/>
    </w:rPr>
  </w:style>
  <w:style w:type="paragraph" w:styleId="ListParagraph">
    <w:name w:val="List Paragraph"/>
    <w:basedOn w:val="Normal"/>
    <w:uiPriority w:val="34"/>
    <w:qFormat/>
    <w:rsid w:val="00604582"/>
    <w:pPr>
      <w:ind w:left="720"/>
      <w:contextualSpacing/>
    </w:pPr>
  </w:style>
  <w:style w:type="paragraph" w:styleId="PlainText">
    <w:name w:val="Plain Text"/>
    <w:basedOn w:val="Normal"/>
    <w:link w:val="PlainTextChar"/>
    <w:uiPriority w:val="99"/>
    <w:unhideWhenUsed/>
    <w:rsid w:val="0046107F"/>
    <w:pPr>
      <w:spacing w:after="0" w:line="240" w:lineRule="auto"/>
      <w:ind w:left="0" w:firstLine="0"/>
    </w:pPr>
    <w:rPr>
      <w:rFonts w:ascii="Calibri" w:eastAsiaTheme="minorHAnsi" w:hAnsi="Calibri"/>
      <w:color w:val="auto"/>
      <w:sz w:val="22"/>
    </w:rPr>
  </w:style>
  <w:style w:type="character" w:customStyle="1" w:styleId="PlainTextChar">
    <w:name w:val="Plain Text Char"/>
    <w:basedOn w:val="DefaultParagraphFont"/>
    <w:link w:val="PlainText"/>
    <w:uiPriority w:val="99"/>
    <w:rsid w:val="0046107F"/>
    <w:rPr>
      <w:rFonts w:ascii="Calibri" w:eastAsiaTheme="minorHAnsi" w:hAnsi="Calibri" w:cs="Times New Roman"/>
    </w:rPr>
  </w:style>
  <w:style w:type="character" w:styleId="Hyperlink">
    <w:name w:val="Hyperlink"/>
    <w:basedOn w:val="DefaultParagraphFont"/>
    <w:uiPriority w:val="99"/>
    <w:unhideWhenUsed/>
    <w:rsid w:val="00BF5107"/>
    <w:rPr>
      <w:color w:val="0563C1" w:themeColor="hyperlink"/>
      <w:u w:val="single"/>
    </w:rPr>
  </w:style>
  <w:style w:type="character" w:styleId="FollowedHyperlink">
    <w:name w:val="FollowedHyperlink"/>
    <w:basedOn w:val="DefaultParagraphFont"/>
    <w:uiPriority w:val="99"/>
    <w:semiHidden/>
    <w:unhideWhenUsed/>
    <w:rsid w:val="0042647E"/>
    <w:rPr>
      <w:color w:val="954F72" w:themeColor="followedHyperlink"/>
      <w:u w:val="single"/>
    </w:rPr>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6803">
      <w:bodyDiv w:val="1"/>
      <w:marLeft w:val="0"/>
      <w:marRight w:val="0"/>
      <w:marTop w:val="0"/>
      <w:marBottom w:val="0"/>
      <w:divBdr>
        <w:top w:val="none" w:sz="0" w:space="0" w:color="auto"/>
        <w:left w:val="none" w:sz="0" w:space="0" w:color="auto"/>
        <w:bottom w:val="none" w:sz="0" w:space="0" w:color="auto"/>
        <w:right w:val="none" w:sz="0" w:space="0" w:color="auto"/>
      </w:divBdr>
    </w:div>
    <w:div w:id="1762143997">
      <w:bodyDiv w:val="1"/>
      <w:marLeft w:val="0"/>
      <w:marRight w:val="0"/>
      <w:marTop w:val="0"/>
      <w:marBottom w:val="0"/>
      <w:divBdr>
        <w:top w:val="none" w:sz="0" w:space="0" w:color="auto"/>
        <w:left w:val="none" w:sz="0" w:space="0" w:color="auto"/>
        <w:bottom w:val="none" w:sz="0" w:space="0" w:color="auto"/>
        <w:right w:val="none" w:sz="0" w:space="0" w:color="auto"/>
      </w:divBdr>
    </w:div>
    <w:div w:id="208525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offitt@wcu.edu" TargetMode="External"/><Relationship Id="rId13" Type="http://schemas.openxmlformats.org/officeDocument/2006/relationships/hyperlink" Target="mailto:jim.fish@coalfire.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dsteinbicker@wcu.edu" TargetMode="External"/><Relationship Id="rId12" Type="http://schemas.openxmlformats.org/officeDocument/2006/relationships/hyperlink" Target="mailto:kyesha.moultrie@coalfir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mclawhorn@osc.n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fowler@wc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kenzie@wcu.edu" TargetMode="External"/><Relationship Id="rId14" Type="http://schemas.openxmlformats.org/officeDocument/2006/relationships/hyperlink" Target="mailto:jon.bonham@coal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UNM Credit Card (PCI) Security Incident Response Plan v1.2</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Credit Card (PCI) Security Incident Response Plan v1.2</dc:title>
  <dc:subject>UNM Credit Card (PCI) Security Incident Response Plan v1.2</dc:subject>
  <dc:creator>Jeff G., et.al.</dc:creator>
  <cp:keywords/>
  <cp:lastModifiedBy>Brady Proffitt</cp:lastModifiedBy>
  <cp:revision>4</cp:revision>
  <dcterms:created xsi:type="dcterms:W3CDTF">2023-06-07T13:16:00Z</dcterms:created>
  <dcterms:modified xsi:type="dcterms:W3CDTF">2023-06-07T13:22:00Z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2023-06-07T13:16:34Z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41681800-d4e7-4f67-ba96-6fb6ec512f6d</vt:lpwstr>
  </property>
  <property fmtid="{D5CDD505-2E9C-101B-9397-08002B2CF9AE}" pid="8" name="MSIP_Label_8d321b5f-a4ea-42e4-9273-2f91b9a1a708_ContentBits">
    <vt:lpwstr>0</vt:lpwstr>
  </property>
</Properties>
</file>