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62" w:rsidRDefault="00952F90" w:rsidP="00952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952F90">
        <w:rPr>
          <w:rFonts w:ascii="Arial" w:hAnsi="Arial" w:cs="Arial"/>
          <w:b/>
          <w:sz w:val="24"/>
        </w:rPr>
        <w:t>APR 27</w:t>
      </w:r>
      <w:r>
        <w:rPr>
          <w:rFonts w:ascii="Arial" w:hAnsi="Arial" w:cs="Arial"/>
          <w:b/>
          <w:bCs/>
          <w:color w:val="000000"/>
          <w:sz w:val="24"/>
        </w:rPr>
        <w:t xml:space="preserve">: </w:t>
      </w:r>
      <w:r w:rsidR="00B94462" w:rsidRPr="00952F90">
        <w:rPr>
          <w:rFonts w:ascii="Arial" w:hAnsi="Arial" w:cs="Arial"/>
          <w:b/>
          <w:bCs/>
          <w:color w:val="000000"/>
          <w:sz w:val="24"/>
        </w:rPr>
        <w:t xml:space="preserve">Use of </w:t>
      </w:r>
      <w:r w:rsidR="0000220F" w:rsidRPr="00952F90">
        <w:rPr>
          <w:rFonts w:ascii="Arial" w:hAnsi="Arial" w:cs="Arial"/>
          <w:b/>
          <w:bCs/>
          <w:color w:val="000000"/>
          <w:sz w:val="24"/>
        </w:rPr>
        <w:t>Education and Technology</w:t>
      </w:r>
      <w:r w:rsidR="00B94462" w:rsidRPr="00952F90">
        <w:rPr>
          <w:rFonts w:ascii="Arial" w:hAnsi="Arial" w:cs="Arial"/>
          <w:b/>
          <w:bCs/>
          <w:color w:val="000000"/>
          <w:sz w:val="24"/>
        </w:rPr>
        <w:t xml:space="preserve"> Fees / Guidelines</w:t>
      </w:r>
    </w:p>
    <w:p w:rsidR="0063297C" w:rsidRDefault="0063297C" w:rsidP="00952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Effective Fall 2013</w:t>
      </w:r>
      <w:bookmarkStart w:id="0" w:name="_GoBack"/>
      <w:bookmarkEnd w:id="0"/>
    </w:p>
    <w:p w:rsidR="00952F90" w:rsidRDefault="00952F90" w:rsidP="00952F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B94462" w:rsidRPr="000D5533" w:rsidRDefault="00B94462" w:rsidP="00B94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B94462" w:rsidRPr="000D5533" w:rsidRDefault="00B94462" w:rsidP="00B94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D5533">
        <w:rPr>
          <w:rFonts w:ascii="Arial" w:hAnsi="Arial" w:cs="Arial"/>
          <w:b/>
          <w:bCs/>
          <w:color w:val="000000"/>
          <w:sz w:val="24"/>
        </w:rPr>
        <w:t>Fee:</w:t>
      </w:r>
      <w:r w:rsidRPr="000D5533">
        <w:rPr>
          <w:rFonts w:ascii="Arial" w:hAnsi="Arial" w:cs="Arial"/>
          <w:color w:val="000000"/>
          <w:sz w:val="24"/>
        </w:rPr>
        <w:t xml:space="preserve"> </w:t>
      </w:r>
      <w:r w:rsidR="00AD7A12" w:rsidRPr="000D5533">
        <w:rPr>
          <w:rFonts w:ascii="Arial" w:hAnsi="Arial" w:cs="Arial"/>
          <w:color w:val="000000"/>
          <w:sz w:val="24"/>
        </w:rPr>
        <w:tab/>
        <w:t xml:space="preserve">Education and Technology </w:t>
      </w:r>
      <w:r w:rsidRPr="000D5533">
        <w:rPr>
          <w:rFonts w:ascii="Arial" w:hAnsi="Arial" w:cs="Arial"/>
          <w:color w:val="000000"/>
          <w:sz w:val="24"/>
        </w:rPr>
        <w:t xml:space="preserve">Fee </w:t>
      </w:r>
      <w:r w:rsidR="004A7BBF" w:rsidRPr="000D5533">
        <w:rPr>
          <w:rFonts w:ascii="Arial" w:hAnsi="Arial" w:cs="Arial"/>
          <w:color w:val="000000"/>
          <w:sz w:val="24"/>
        </w:rPr>
        <w:t>(ETF)</w:t>
      </w:r>
    </w:p>
    <w:p w:rsidR="00B94462" w:rsidRPr="000D5533" w:rsidRDefault="00B94462" w:rsidP="00B94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</w:p>
    <w:p w:rsidR="00B94462" w:rsidRPr="000D5533" w:rsidRDefault="00865EE2" w:rsidP="00B944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Definition and </w:t>
      </w:r>
      <w:r w:rsidR="00B94462" w:rsidRPr="000D5533">
        <w:rPr>
          <w:rFonts w:ascii="Arial" w:hAnsi="Arial" w:cs="Arial"/>
          <w:b/>
          <w:bCs/>
          <w:color w:val="000000"/>
          <w:sz w:val="24"/>
        </w:rPr>
        <w:t xml:space="preserve">Description of Fee: </w:t>
      </w:r>
      <w:r w:rsidRPr="000D5533">
        <w:rPr>
          <w:rFonts w:ascii="Arial" w:hAnsi="Arial" w:cs="Arial"/>
          <w:color w:val="000000"/>
          <w:sz w:val="24"/>
        </w:rPr>
        <w:t>UNC Board of Governors defines ETFs as fees charged to students for information technology, web-based teaching, specialized instructional supplies and services and for scientific and data processing equipment which are not directly related to specific courses.</w:t>
      </w:r>
      <w:r>
        <w:rPr>
          <w:rFonts w:ascii="Arial" w:hAnsi="Arial" w:cs="Arial"/>
          <w:color w:val="000000"/>
          <w:sz w:val="24"/>
        </w:rPr>
        <w:t xml:space="preserve"> </w:t>
      </w:r>
      <w:r w:rsidR="00B94462" w:rsidRPr="000D5533">
        <w:rPr>
          <w:rFonts w:ascii="Arial" w:hAnsi="Arial" w:cs="Arial"/>
          <w:color w:val="000000"/>
          <w:sz w:val="24"/>
        </w:rPr>
        <w:t>The</w:t>
      </w:r>
      <w:r w:rsidR="0072657C">
        <w:rPr>
          <w:rFonts w:ascii="Arial" w:hAnsi="Arial" w:cs="Arial"/>
          <w:color w:val="000000"/>
          <w:sz w:val="24"/>
        </w:rPr>
        <w:t xml:space="preserve"> ETF</w:t>
      </w:r>
      <w:r w:rsidR="00B94462" w:rsidRPr="000D5533">
        <w:rPr>
          <w:rFonts w:ascii="Arial" w:hAnsi="Arial" w:cs="Arial"/>
          <w:color w:val="000000"/>
          <w:sz w:val="24"/>
        </w:rPr>
        <w:t xml:space="preserve"> is required of </w:t>
      </w:r>
      <w:r w:rsidR="00AD7A12" w:rsidRPr="000D5533">
        <w:rPr>
          <w:rFonts w:ascii="Arial" w:hAnsi="Arial" w:cs="Arial"/>
          <w:color w:val="000000"/>
          <w:sz w:val="24"/>
        </w:rPr>
        <w:t xml:space="preserve">all </w:t>
      </w:r>
      <w:r w:rsidR="00B94462" w:rsidRPr="000D5533">
        <w:rPr>
          <w:rFonts w:ascii="Arial" w:hAnsi="Arial" w:cs="Arial"/>
          <w:color w:val="000000"/>
          <w:sz w:val="24"/>
        </w:rPr>
        <w:t>undergraduate</w:t>
      </w:r>
      <w:r w:rsidR="00AD7A12" w:rsidRPr="000D5533">
        <w:rPr>
          <w:rFonts w:ascii="Arial" w:hAnsi="Arial" w:cs="Arial"/>
          <w:color w:val="000000"/>
          <w:sz w:val="24"/>
        </w:rPr>
        <w:t xml:space="preserve"> and graduate students </w:t>
      </w:r>
      <w:r w:rsidR="008644FE">
        <w:rPr>
          <w:rFonts w:ascii="Arial" w:hAnsi="Arial" w:cs="Arial"/>
          <w:color w:val="000000"/>
          <w:sz w:val="24"/>
        </w:rPr>
        <w:t xml:space="preserve">enrolled in </w:t>
      </w:r>
      <w:r w:rsidR="00AD7A12" w:rsidRPr="000D5533">
        <w:rPr>
          <w:rFonts w:ascii="Arial" w:hAnsi="Arial" w:cs="Arial"/>
          <w:color w:val="000000"/>
          <w:sz w:val="24"/>
        </w:rPr>
        <w:t>for-credit courses</w:t>
      </w:r>
      <w:r w:rsidR="00B94462" w:rsidRPr="000D5533">
        <w:rPr>
          <w:rFonts w:ascii="Arial" w:hAnsi="Arial" w:cs="Arial"/>
          <w:color w:val="000000"/>
          <w:sz w:val="24"/>
        </w:rPr>
        <w:t xml:space="preserve">. </w:t>
      </w:r>
      <w:r w:rsidR="0000220F">
        <w:rPr>
          <w:rFonts w:ascii="Arial" w:hAnsi="Arial" w:cs="Arial"/>
          <w:color w:val="000000"/>
          <w:sz w:val="24"/>
        </w:rPr>
        <w:t xml:space="preserve">Distance Education, Summer School and Off-Formula rates are calculated on a per-credit hour basis. </w:t>
      </w:r>
    </w:p>
    <w:p w:rsidR="00B94462" w:rsidRPr="000D5533" w:rsidRDefault="00B94462" w:rsidP="00B94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4A7BBF" w:rsidRDefault="00AD7A12" w:rsidP="00F374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D5533">
        <w:rPr>
          <w:rFonts w:ascii="Arial" w:hAnsi="Arial" w:cs="Arial"/>
          <w:b/>
          <w:color w:val="000000"/>
          <w:sz w:val="24"/>
        </w:rPr>
        <w:t>Background</w:t>
      </w:r>
      <w:r w:rsidR="00B94462" w:rsidRPr="000D5533">
        <w:rPr>
          <w:rFonts w:ascii="Arial" w:hAnsi="Arial" w:cs="Arial"/>
          <w:color w:val="000000"/>
          <w:sz w:val="24"/>
        </w:rPr>
        <w:t xml:space="preserve">:  </w:t>
      </w:r>
      <w:r w:rsidRPr="000D5533">
        <w:rPr>
          <w:rFonts w:ascii="Arial" w:hAnsi="Arial" w:cs="Arial"/>
          <w:color w:val="000000"/>
          <w:sz w:val="24"/>
        </w:rPr>
        <w:t>Effective July 1, 2012 Session Law 2012-142 (House Bill 150), section 9.9 amended General Statute 116-36.1(g) (Regulation of Institutional Trust Funds) by adding the following subdivision: “…any other moneys collected by an institution as student fees previously approved by the Board of Governors).”</w:t>
      </w:r>
      <w:r w:rsidR="004A7BBF" w:rsidRPr="000D5533">
        <w:rPr>
          <w:rFonts w:ascii="Arial" w:hAnsi="Arial" w:cs="Arial"/>
          <w:color w:val="000000"/>
          <w:sz w:val="24"/>
        </w:rPr>
        <w:t xml:space="preserve">  As such, effective July 1, 2012 all ETF revenues were realigned from state budget to trusts.</w:t>
      </w:r>
    </w:p>
    <w:p w:rsidR="00F37462" w:rsidRPr="00F37462" w:rsidRDefault="00F37462" w:rsidP="00F37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B94462" w:rsidRPr="000D5533" w:rsidRDefault="00B94462" w:rsidP="00B944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D5533">
        <w:rPr>
          <w:rFonts w:ascii="Arial" w:hAnsi="Arial" w:cs="Arial"/>
          <w:b/>
          <w:color w:val="000000"/>
          <w:sz w:val="24"/>
        </w:rPr>
        <w:t xml:space="preserve">Generated revenues will support the </w:t>
      </w:r>
      <w:r w:rsidR="00BC515E" w:rsidRPr="000D5533">
        <w:rPr>
          <w:rFonts w:ascii="Arial" w:hAnsi="Arial" w:cs="Arial"/>
          <w:b/>
          <w:color w:val="000000"/>
          <w:sz w:val="24"/>
        </w:rPr>
        <w:t xml:space="preserve">following academic </w:t>
      </w:r>
      <w:r w:rsidR="00865EE2">
        <w:rPr>
          <w:rFonts w:ascii="Arial" w:hAnsi="Arial" w:cs="Arial"/>
          <w:b/>
          <w:color w:val="000000"/>
          <w:sz w:val="24"/>
        </w:rPr>
        <w:t>purposes/</w:t>
      </w:r>
      <w:r w:rsidR="00BC515E" w:rsidRPr="000D5533">
        <w:rPr>
          <w:rFonts w:ascii="Arial" w:hAnsi="Arial" w:cs="Arial"/>
          <w:b/>
          <w:color w:val="000000"/>
          <w:sz w:val="24"/>
        </w:rPr>
        <w:t>initiatives</w:t>
      </w:r>
      <w:r w:rsidR="00BC515E" w:rsidRPr="000D5533">
        <w:rPr>
          <w:rFonts w:ascii="Arial" w:hAnsi="Arial" w:cs="Arial"/>
          <w:color w:val="000000"/>
          <w:sz w:val="24"/>
        </w:rPr>
        <w:t>:</w:t>
      </w:r>
      <w:r w:rsidRPr="000D5533">
        <w:rPr>
          <w:rFonts w:ascii="Arial" w:hAnsi="Arial" w:cs="Arial"/>
          <w:color w:val="000000"/>
          <w:sz w:val="24"/>
        </w:rPr>
        <w:t xml:space="preserve"> </w:t>
      </w:r>
    </w:p>
    <w:p w:rsidR="00BC515E" w:rsidRPr="000D5533" w:rsidRDefault="00BC515E" w:rsidP="00BC51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D5533">
        <w:rPr>
          <w:rFonts w:ascii="Arial" w:hAnsi="Arial" w:cs="Arial"/>
          <w:color w:val="000000"/>
          <w:sz w:val="24"/>
        </w:rPr>
        <w:t>Advancement of quality of learning experiences for students</w:t>
      </w:r>
      <w:r w:rsidR="004963F3" w:rsidRPr="000D5533">
        <w:rPr>
          <w:rFonts w:ascii="Arial" w:hAnsi="Arial" w:cs="Arial"/>
          <w:color w:val="000000"/>
          <w:sz w:val="24"/>
        </w:rPr>
        <w:t xml:space="preserve">, to include </w:t>
      </w:r>
      <w:r w:rsidR="008644FE">
        <w:rPr>
          <w:rFonts w:ascii="Arial" w:hAnsi="Arial" w:cs="Arial"/>
          <w:color w:val="000000"/>
          <w:sz w:val="24"/>
        </w:rPr>
        <w:t xml:space="preserve">student </w:t>
      </w:r>
      <w:r w:rsidR="004963F3" w:rsidRPr="000D5533">
        <w:rPr>
          <w:rFonts w:ascii="Arial" w:hAnsi="Arial" w:cs="Arial"/>
          <w:color w:val="000000"/>
          <w:sz w:val="24"/>
        </w:rPr>
        <w:t>course-related travel</w:t>
      </w:r>
    </w:p>
    <w:p w:rsidR="00BC515E" w:rsidRPr="000D5533" w:rsidRDefault="00BC515E" w:rsidP="004963F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0D5533">
        <w:rPr>
          <w:rFonts w:ascii="Arial" w:hAnsi="Arial" w:cs="Arial"/>
          <w:sz w:val="24"/>
        </w:rPr>
        <w:t xml:space="preserve">Embrace emerging opportunities that differentiate the learning experience </w:t>
      </w:r>
      <w:r w:rsidR="0000220F">
        <w:rPr>
          <w:rFonts w:ascii="Arial" w:hAnsi="Arial" w:cs="Arial"/>
          <w:sz w:val="24"/>
        </w:rPr>
        <w:t xml:space="preserve">beyond what appropriated funds allow </w:t>
      </w:r>
      <w:r w:rsidRPr="000D5533">
        <w:rPr>
          <w:rFonts w:ascii="Arial" w:hAnsi="Arial" w:cs="Arial"/>
          <w:sz w:val="24"/>
        </w:rPr>
        <w:t>while remaining accountable to students, the university, and the state</w:t>
      </w:r>
      <w:r w:rsidR="0000220F">
        <w:rPr>
          <w:rFonts w:ascii="Arial" w:hAnsi="Arial" w:cs="Arial"/>
          <w:sz w:val="24"/>
        </w:rPr>
        <w:t>.</w:t>
      </w:r>
      <w:r w:rsidR="004963F3" w:rsidRPr="000D5533">
        <w:rPr>
          <w:rFonts w:ascii="Arial" w:hAnsi="Arial" w:cs="Arial"/>
          <w:sz w:val="24"/>
        </w:rPr>
        <w:t xml:space="preserve">  </w:t>
      </w:r>
      <w:r w:rsidRPr="000D5533">
        <w:rPr>
          <w:rFonts w:ascii="Arial" w:hAnsi="Arial" w:cs="Arial"/>
          <w:sz w:val="24"/>
        </w:rPr>
        <w:t>Examples include but not limited to:</w:t>
      </w:r>
    </w:p>
    <w:p w:rsidR="00BC515E" w:rsidRPr="000D5533" w:rsidRDefault="00BC515E" w:rsidP="004963F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D5533">
        <w:rPr>
          <w:rFonts w:ascii="Arial" w:hAnsi="Arial" w:cs="Arial"/>
          <w:sz w:val="24"/>
        </w:rPr>
        <w:t xml:space="preserve">equipment, software applications, </w:t>
      </w:r>
    </w:p>
    <w:p w:rsidR="00BC515E" w:rsidRPr="000D5533" w:rsidRDefault="004963F3" w:rsidP="004963F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D5533">
        <w:rPr>
          <w:rFonts w:ascii="Arial" w:hAnsi="Arial" w:cs="Arial"/>
          <w:sz w:val="24"/>
        </w:rPr>
        <w:t>supplies</w:t>
      </w:r>
      <w:r w:rsidR="00BC515E" w:rsidRPr="000D5533">
        <w:rPr>
          <w:rFonts w:ascii="Arial" w:hAnsi="Arial" w:cs="Arial"/>
          <w:sz w:val="24"/>
        </w:rPr>
        <w:t xml:space="preserve"> </w:t>
      </w:r>
      <w:r w:rsidRPr="000D5533">
        <w:rPr>
          <w:rFonts w:ascii="Arial" w:hAnsi="Arial" w:cs="Arial"/>
          <w:sz w:val="24"/>
        </w:rPr>
        <w:t xml:space="preserve">for educational </w:t>
      </w:r>
      <w:r w:rsidR="00BC515E" w:rsidRPr="000D5533">
        <w:rPr>
          <w:rFonts w:ascii="Arial" w:hAnsi="Arial" w:cs="Arial"/>
          <w:sz w:val="24"/>
        </w:rPr>
        <w:t xml:space="preserve">materials, </w:t>
      </w:r>
    </w:p>
    <w:p w:rsidR="00BC515E" w:rsidRPr="000D5533" w:rsidRDefault="00BC515E" w:rsidP="004963F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D5533">
        <w:rPr>
          <w:rFonts w:ascii="Arial" w:hAnsi="Arial" w:cs="Arial"/>
          <w:sz w:val="24"/>
        </w:rPr>
        <w:t xml:space="preserve">laboratory expenses, </w:t>
      </w:r>
    </w:p>
    <w:p w:rsidR="00BC515E" w:rsidRPr="000D5533" w:rsidRDefault="00BC515E" w:rsidP="004963F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D5533">
        <w:rPr>
          <w:rFonts w:ascii="Arial" w:hAnsi="Arial" w:cs="Arial"/>
          <w:sz w:val="24"/>
        </w:rPr>
        <w:t xml:space="preserve">student computing labs and facilities, </w:t>
      </w:r>
    </w:p>
    <w:p w:rsidR="00BC515E" w:rsidRPr="000D5533" w:rsidRDefault="00BC515E" w:rsidP="004963F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D5533">
        <w:rPr>
          <w:rFonts w:ascii="Arial" w:hAnsi="Arial" w:cs="Arial"/>
          <w:sz w:val="24"/>
        </w:rPr>
        <w:t xml:space="preserve">connectivity infrastructure </w:t>
      </w:r>
    </w:p>
    <w:p w:rsidR="00BC515E" w:rsidRPr="000D5533" w:rsidRDefault="00BC515E" w:rsidP="004963F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D5533">
        <w:rPr>
          <w:rFonts w:ascii="Arial" w:hAnsi="Arial" w:cs="Arial"/>
          <w:sz w:val="24"/>
        </w:rPr>
        <w:t xml:space="preserve">services to support student learning, </w:t>
      </w:r>
      <w:r w:rsidR="004963F3" w:rsidRPr="000D5533">
        <w:rPr>
          <w:rFonts w:ascii="Arial" w:hAnsi="Arial" w:cs="Arial"/>
          <w:sz w:val="24"/>
        </w:rPr>
        <w:t>learning spaces</w:t>
      </w:r>
    </w:p>
    <w:p w:rsidR="00BC515E" w:rsidRPr="000D5533" w:rsidRDefault="00BC515E" w:rsidP="004963F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D5533">
        <w:rPr>
          <w:rFonts w:ascii="Arial" w:eastAsiaTheme="minorEastAsia" w:hAnsi="Arial" w:cs="Arial"/>
          <w:color w:val="000000" w:themeColor="text1"/>
          <w:kern w:val="24"/>
          <w:sz w:val="24"/>
        </w:rPr>
        <w:t>wireless refresh and mobile service developer</w:t>
      </w:r>
    </w:p>
    <w:p w:rsidR="00BC515E" w:rsidRDefault="00BC515E" w:rsidP="004963F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D5533">
        <w:rPr>
          <w:rFonts w:ascii="Arial" w:hAnsi="Arial" w:cs="Arial"/>
          <w:sz w:val="24"/>
        </w:rPr>
        <w:t>Mobile computing, which provides students and faculty access to course materials (Bb Learn Mobile) and other instructional resources vi</w:t>
      </w:r>
      <w:r w:rsidR="004963F3" w:rsidRPr="000D5533">
        <w:rPr>
          <w:rFonts w:ascii="Arial" w:hAnsi="Arial" w:cs="Arial"/>
          <w:sz w:val="24"/>
        </w:rPr>
        <w:t>a their handheld and/or tablet.</w:t>
      </w:r>
    </w:p>
    <w:p w:rsidR="0000220F" w:rsidRPr="000D5533" w:rsidRDefault="0000220F" w:rsidP="0000220F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University priorities, utilizing university reserves, as dictated by senior officers, during university budget processes.</w:t>
      </w:r>
    </w:p>
    <w:p w:rsidR="004963F3" w:rsidRDefault="00003403" w:rsidP="004963F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4963F3" w:rsidRPr="000D5533">
        <w:rPr>
          <w:rFonts w:ascii="Arial" w:hAnsi="Arial" w:cs="Arial"/>
          <w:sz w:val="24"/>
        </w:rPr>
        <w:t xml:space="preserve">nexpended balances at year end will be rolled over to the </w:t>
      </w:r>
      <w:r>
        <w:rPr>
          <w:rFonts w:ascii="Arial" w:hAnsi="Arial" w:cs="Arial"/>
          <w:sz w:val="24"/>
        </w:rPr>
        <w:t xml:space="preserve">unit’s </w:t>
      </w:r>
      <w:r w:rsidR="004963F3" w:rsidRPr="000D5533">
        <w:rPr>
          <w:rFonts w:ascii="Arial" w:hAnsi="Arial" w:cs="Arial"/>
          <w:sz w:val="24"/>
        </w:rPr>
        <w:t>succeeding fiscal year budget</w:t>
      </w:r>
      <w:r>
        <w:rPr>
          <w:rFonts w:ascii="Arial" w:hAnsi="Arial" w:cs="Arial"/>
          <w:sz w:val="24"/>
        </w:rPr>
        <w:t xml:space="preserve"> provided a spending plan is in place and has been approved by the Provost</w:t>
      </w:r>
      <w:r w:rsidR="004963F3" w:rsidRPr="000D5533">
        <w:rPr>
          <w:rFonts w:ascii="Arial" w:hAnsi="Arial" w:cs="Arial"/>
          <w:sz w:val="24"/>
        </w:rPr>
        <w:t>.</w:t>
      </w:r>
      <w:r w:rsidR="0072657C">
        <w:rPr>
          <w:rFonts w:ascii="Arial" w:hAnsi="Arial" w:cs="Arial"/>
          <w:sz w:val="24"/>
        </w:rPr>
        <w:t xml:space="preserve"> </w:t>
      </w:r>
    </w:p>
    <w:p w:rsidR="00003403" w:rsidRDefault="00017AA2" w:rsidP="004963F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ETF </w:t>
      </w:r>
      <w:r w:rsidR="00A52433">
        <w:rPr>
          <w:rFonts w:ascii="Arial" w:hAnsi="Arial" w:cs="Arial"/>
          <w:sz w:val="24"/>
        </w:rPr>
        <w:t>budgets</w:t>
      </w:r>
      <w:r w:rsidR="00D01BF9">
        <w:rPr>
          <w:rFonts w:ascii="Arial" w:hAnsi="Arial" w:cs="Arial"/>
          <w:sz w:val="24"/>
        </w:rPr>
        <w:t xml:space="preserve"> will be </w:t>
      </w:r>
      <w:r w:rsidR="00A52433">
        <w:rPr>
          <w:rFonts w:ascii="Arial" w:hAnsi="Arial" w:cs="Arial"/>
          <w:sz w:val="24"/>
        </w:rPr>
        <w:t>reconciled with cash at the end of the fiscal year</w:t>
      </w:r>
      <w:r w:rsidR="00D01BF9">
        <w:rPr>
          <w:rFonts w:ascii="Arial" w:hAnsi="Arial" w:cs="Arial"/>
          <w:sz w:val="24"/>
        </w:rPr>
        <w:t xml:space="preserve">.  </w:t>
      </w:r>
    </w:p>
    <w:sectPr w:rsidR="00003403" w:rsidSect="00E9036B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FF" w:rsidRDefault="001E1EFF" w:rsidP="00A13865">
      <w:pPr>
        <w:spacing w:after="0" w:line="240" w:lineRule="auto"/>
      </w:pPr>
      <w:r>
        <w:separator/>
      </w:r>
    </w:p>
  </w:endnote>
  <w:endnote w:type="continuationSeparator" w:id="0">
    <w:p w:rsidR="001E1EFF" w:rsidRDefault="001E1EFF" w:rsidP="00A1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FF" w:rsidRDefault="001E1EFF" w:rsidP="00A13865">
      <w:pPr>
        <w:spacing w:after="0" w:line="240" w:lineRule="auto"/>
      </w:pPr>
      <w:r>
        <w:separator/>
      </w:r>
    </w:p>
  </w:footnote>
  <w:footnote w:type="continuationSeparator" w:id="0">
    <w:p w:rsidR="001E1EFF" w:rsidRDefault="001E1EFF" w:rsidP="00A1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90" w:rsidRDefault="00952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0A24"/>
    <w:multiLevelType w:val="hybridMultilevel"/>
    <w:tmpl w:val="70FE3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49DE"/>
    <w:multiLevelType w:val="hybridMultilevel"/>
    <w:tmpl w:val="7EA0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D5024"/>
    <w:multiLevelType w:val="hybridMultilevel"/>
    <w:tmpl w:val="BE6E0946"/>
    <w:lvl w:ilvl="0" w:tplc="AF1E8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2"/>
    <w:rsid w:val="0000220F"/>
    <w:rsid w:val="00003403"/>
    <w:rsid w:val="00003F88"/>
    <w:rsid w:val="00017AA2"/>
    <w:rsid w:val="000D5533"/>
    <w:rsid w:val="0011008C"/>
    <w:rsid w:val="001335A7"/>
    <w:rsid w:val="00186264"/>
    <w:rsid w:val="001E1EFF"/>
    <w:rsid w:val="0021579C"/>
    <w:rsid w:val="004107C2"/>
    <w:rsid w:val="00412978"/>
    <w:rsid w:val="00471CB9"/>
    <w:rsid w:val="004963F3"/>
    <w:rsid w:val="004A7BBF"/>
    <w:rsid w:val="004B4C0D"/>
    <w:rsid w:val="004C7612"/>
    <w:rsid w:val="005C6E28"/>
    <w:rsid w:val="0063297C"/>
    <w:rsid w:val="00674408"/>
    <w:rsid w:val="00693EC7"/>
    <w:rsid w:val="006B0FF7"/>
    <w:rsid w:val="006C5352"/>
    <w:rsid w:val="0072657C"/>
    <w:rsid w:val="00800A58"/>
    <w:rsid w:val="00806978"/>
    <w:rsid w:val="008644FE"/>
    <w:rsid w:val="00865EE2"/>
    <w:rsid w:val="008B0A3B"/>
    <w:rsid w:val="00952F90"/>
    <w:rsid w:val="009E1E81"/>
    <w:rsid w:val="009E333A"/>
    <w:rsid w:val="00A13865"/>
    <w:rsid w:val="00A43AA5"/>
    <w:rsid w:val="00A52433"/>
    <w:rsid w:val="00A86135"/>
    <w:rsid w:val="00AB79FC"/>
    <w:rsid w:val="00AD7A12"/>
    <w:rsid w:val="00B276B1"/>
    <w:rsid w:val="00B94462"/>
    <w:rsid w:val="00BC515E"/>
    <w:rsid w:val="00BC6862"/>
    <w:rsid w:val="00BD269A"/>
    <w:rsid w:val="00BE1328"/>
    <w:rsid w:val="00C11535"/>
    <w:rsid w:val="00C425D2"/>
    <w:rsid w:val="00CC7B7F"/>
    <w:rsid w:val="00D01BF9"/>
    <w:rsid w:val="00D15048"/>
    <w:rsid w:val="00DF19D6"/>
    <w:rsid w:val="00E9036B"/>
    <w:rsid w:val="00EE61CD"/>
    <w:rsid w:val="00F05E39"/>
    <w:rsid w:val="00F37462"/>
    <w:rsid w:val="00F75B55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0A49D8-B83A-45DD-8B7F-00F0AD6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65"/>
  </w:style>
  <w:style w:type="paragraph" w:styleId="Footer">
    <w:name w:val="footer"/>
    <w:basedOn w:val="Normal"/>
    <w:link w:val="FooterChar"/>
    <w:uiPriority w:val="99"/>
    <w:unhideWhenUsed/>
    <w:rsid w:val="00A13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65"/>
  </w:style>
  <w:style w:type="paragraph" w:styleId="BalloonText">
    <w:name w:val="Balloon Text"/>
    <w:basedOn w:val="Normal"/>
    <w:link w:val="BalloonTextChar"/>
    <w:uiPriority w:val="99"/>
    <w:semiHidden/>
    <w:unhideWhenUsed/>
    <w:rsid w:val="00E9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7562-2593-440A-92D9-6440A0C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sovaa</dc:creator>
  <cp:lastModifiedBy>Greg Hodges</cp:lastModifiedBy>
  <cp:revision>4</cp:revision>
  <dcterms:created xsi:type="dcterms:W3CDTF">2014-01-21T19:14:00Z</dcterms:created>
  <dcterms:modified xsi:type="dcterms:W3CDTF">2014-07-08T20:49:00Z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