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CE" w:rsidRDefault="00031BCE" w:rsidP="0076703C">
      <w:pPr>
        <w:spacing w:after="0" w:line="240" w:lineRule="auto"/>
        <w:rPr>
          <w:rFonts w:ascii="Times New Roman" w:hAnsi="Times New Roman" w:cs="Times New Roman"/>
          <w:b/>
          <w:sz w:val="20"/>
          <w:szCs w:val="20"/>
        </w:rPr>
      </w:pPr>
    </w:p>
    <w:p w:rsidR="004468B0" w:rsidRPr="005A50B3" w:rsidRDefault="00250C5C" w:rsidP="0076703C">
      <w:pPr>
        <w:spacing w:after="0" w:line="240" w:lineRule="auto"/>
        <w:rPr>
          <w:rFonts w:ascii="Times New Roman" w:hAnsi="Times New Roman" w:cs="Times New Roman"/>
          <w:b/>
          <w:sz w:val="20"/>
          <w:szCs w:val="20"/>
        </w:rPr>
      </w:pPr>
      <w:r w:rsidRPr="005A50B3">
        <w:rPr>
          <w:rFonts w:ascii="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38448AB7" wp14:editId="388A57EA">
                <wp:simplePos x="0" y="0"/>
                <wp:positionH relativeFrom="page">
                  <wp:posOffset>5648325</wp:posOffset>
                </wp:positionH>
                <wp:positionV relativeFrom="page">
                  <wp:posOffset>1028700</wp:posOffset>
                </wp:positionV>
                <wp:extent cx="1578610" cy="3698240"/>
                <wp:effectExtent l="19050" t="19050" r="40640" b="46355"/>
                <wp:wrapTight wrapText="bothSides">
                  <wp:wrapPolygon edited="1">
                    <wp:start x="-1033" y="-1029"/>
                    <wp:lineTo x="-1315" y="22448"/>
                    <wp:lineTo x="22470" y="22355"/>
                    <wp:lineTo x="22470" y="-1122"/>
                    <wp:lineTo x="-1033" y="-1029"/>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698240"/>
                        </a:xfrm>
                        <a:prstGeom prst="rect">
                          <a:avLst/>
                        </a:prstGeom>
                        <a:noFill/>
                        <a:ln w="57150" cmpd="thickThin">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22E6" w:rsidRPr="003B22E6" w:rsidRDefault="003B22E6" w:rsidP="003B22E6">
                            <w:pPr>
                              <w:spacing w:after="120" w:line="240" w:lineRule="auto"/>
                              <w:jc w:val="center"/>
                              <w:rPr>
                                <w:rFonts w:ascii="Calibri" w:hAnsi="Calibri" w:cs="Times New Roman"/>
                                <w:b/>
                                <w:sz w:val="20"/>
                                <w:szCs w:val="20"/>
                              </w:rPr>
                            </w:pPr>
                            <w:r w:rsidRPr="003B22E6">
                              <w:rPr>
                                <w:rFonts w:ascii="Calibri" w:hAnsi="Calibri" w:cs="Times New Roman"/>
                                <w:b/>
                                <w:sz w:val="20"/>
                                <w:szCs w:val="20"/>
                              </w:rPr>
                              <w:t>A Rigorous Process</w:t>
                            </w:r>
                          </w:p>
                          <w:p w:rsidR="00817998" w:rsidRPr="008A0468" w:rsidRDefault="00817998" w:rsidP="00817998">
                            <w:pPr>
                              <w:spacing w:after="0" w:line="240" w:lineRule="auto"/>
                              <w:jc w:val="both"/>
                              <w:rPr>
                                <w:rFonts w:ascii="Calibri" w:hAnsi="Calibri" w:cs="Times New Roman"/>
                                <w:sz w:val="18"/>
                                <w:szCs w:val="18"/>
                              </w:rPr>
                            </w:pPr>
                            <w:r w:rsidRPr="008A0468">
                              <w:rPr>
                                <w:rFonts w:ascii="Calibri" w:hAnsi="Calibri" w:cs="Times New Roman"/>
                                <w:sz w:val="18"/>
                                <w:szCs w:val="18"/>
                              </w:rPr>
                              <w:t xml:space="preserve">The process to ensure quality in tenure begins even before securing </w:t>
                            </w:r>
                            <w:r w:rsidR="0076703C">
                              <w:rPr>
                                <w:rFonts w:ascii="Calibri" w:hAnsi="Calibri" w:cs="Times New Roman"/>
                                <w:sz w:val="18"/>
                                <w:szCs w:val="18"/>
                              </w:rPr>
                              <w:t>a</w:t>
                            </w:r>
                            <w:r w:rsidRPr="008A0468">
                              <w:rPr>
                                <w:rFonts w:ascii="Calibri" w:hAnsi="Calibri" w:cs="Times New Roman"/>
                                <w:sz w:val="18"/>
                                <w:szCs w:val="18"/>
                              </w:rPr>
                              <w:t xml:space="preserve"> tenure track position. In the Human</w:t>
                            </w:r>
                            <w:r w:rsidR="00A133F8" w:rsidRPr="008A0468">
                              <w:rPr>
                                <w:rFonts w:ascii="Calibri" w:hAnsi="Calibri" w:cs="Times New Roman"/>
                                <w:sz w:val="18"/>
                                <w:szCs w:val="18"/>
                              </w:rPr>
                              <w:t>ities, for example, only 17% who attempt</w:t>
                            </w:r>
                            <w:r w:rsidRPr="008A0468">
                              <w:rPr>
                                <w:rFonts w:ascii="Calibri" w:hAnsi="Calibri" w:cs="Times New Roman"/>
                                <w:sz w:val="18"/>
                                <w:szCs w:val="18"/>
                              </w:rPr>
                              <w:t xml:space="preserve"> </w:t>
                            </w:r>
                            <w:r w:rsidR="00A133F8" w:rsidRPr="008A0468">
                              <w:rPr>
                                <w:rFonts w:ascii="Calibri" w:hAnsi="Calibri" w:cs="Times New Roman"/>
                                <w:sz w:val="18"/>
                                <w:szCs w:val="18"/>
                              </w:rPr>
                              <w:t>the</w:t>
                            </w:r>
                            <w:r w:rsidRPr="008A0468">
                              <w:rPr>
                                <w:rFonts w:ascii="Calibri" w:hAnsi="Calibri" w:cs="Times New Roman"/>
                                <w:sz w:val="18"/>
                                <w:szCs w:val="18"/>
                              </w:rPr>
                              <w:t xml:space="preserve"> PhD complete it, a third drop out prior to completing the degree, and only half of eventual completers (depending upon discipline) secure a tenure-track position.</w:t>
                            </w:r>
                            <w:r w:rsidR="0023723A">
                              <w:rPr>
                                <w:rFonts w:ascii="Calibri" w:hAnsi="Calibri" w:cs="Times New Roman"/>
                                <w:sz w:val="18"/>
                                <w:szCs w:val="18"/>
                              </w:rPr>
                              <w:t xml:space="preserve"> </w:t>
                            </w:r>
                          </w:p>
                          <w:p w:rsidR="00817998" w:rsidRDefault="00817998" w:rsidP="00817998">
                            <w:pPr>
                              <w:spacing w:after="0" w:line="240" w:lineRule="auto"/>
                              <w:jc w:val="both"/>
                              <w:rPr>
                                <w:rFonts w:ascii="Times New Roman" w:hAnsi="Times New Roman" w:cs="Times New Roman"/>
                                <w:sz w:val="20"/>
                                <w:szCs w:val="20"/>
                              </w:rPr>
                            </w:pPr>
                          </w:p>
                          <w:p w:rsidR="00817998" w:rsidRPr="00817998" w:rsidRDefault="00817998" w:rsidP="005A50B3">
                            <w:pPr>
                              <w:pStyle w:val="FootnoteText"/>
                              <w:jc w:val="center"/>
                              <w:rPr>
                                <w:rFonts w:eastAsiaTheme="majorEastAsia" w:cs="Times New Roman"/>
                                <w:i/>
                                <w:iCs/>
                              </w:rPr>
                            </w:pPr>
                            <w:r w:rsidRPr="00817998">
                              <w:rPr>
                                <w:rFonts w:cs="Times New Roman"/>
                                <w:sz w:val="12"/>
                                <w:szCs w:val="12"/>
                              </w:rPr>
                              <w:t xml:space="preserve">Robert Sowell, “Ph. D. Completion and Attrition: Analysis of Baseline Data,” </w:t>
                            </w:r>
                            <w:r w:rsidRPr="005A50B3">
                              <w:rPr>
                                <w:rFonts w:cs="Times New Roman"/>
                                <w:i/>
                                <w:sz w:val="12"/>
                                <w:szCs w:val="12"/>
                              </w:rPr>
                              <w:t>NSF Workshop</w:t>
                            </w:r>
                            <w:r w:rsidR="005A50B3" w:rsidRPr="005A50B3">
                              <w:rPr>
                                <w:rFonts w:cs="Times New Roman"/>
                                <w:i/>
                                <w:sz w:val="12"/>
                                <w:szCs w:val="12"/>
                              </w:rPr>
                              <w:t>: A Fresh Look at Ph.D. Education</w:t>
                            </w:r>
                            <w:r w:rsidRPr="00817998">
                              <w:rPr>
                                <w:rFonts w:cs="Times New Roman"/>
                                <w:sz w:val="12"/>
                                <w:szCs w:val="12"/>
                              </w:rPr>
                              <w:t>, March 31, 2008.</w:t>
                            </w:r>
                            <w:r w:rsidR="0023723A">
                              <w:rPr>
                                <w:rFonts w:cs="Times New Roman"/>
                                <w:sz w:val="12"/>
                                <w:szCs w:val="12"/>
                              </w:rPr>
                              <w:t xml:space="preserve"> </w:t>
                            </w:r>
                            <w:r w:rsidRPr="00817998">
                              <w:rPr>
                                <w:rFonts w:cs="Times New Roman"/>
                                <w:sz w:val="12"/>
                                <w:szCs w:val="12"/>
                              </w:rPr>
                              <w:t>http://www.phdcompletion.org/resources/CGSNSF2008_Sowell.pdf</w:t>
                            </w:r>
                            <w:r w:rsidR="0023723A">
                              <w:rPr>
                                <w:rFonts w:cs="Times New Roman"/>
                                <w:sz w:val="12"/>
                                <w:szCs w:val="12"/>
                              </w:rPr>
                              <w:t xml:space="preserve"> </w:t>
                            </w:r>
                            <w:r w:rsidRPr="00817998">
                              <w:rPr>
                                <w:rFonts w:cs="Times New Roman"/>
                                <w:sz w:val="12"/>
                                <w:szCs w:val="12"/>
                              </w:rPr>
                              <w:t>&amp; http://www.psmag.com/education/why-you-should-go-to-graduate-school-in-the-humanities-59821/</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75pt;margin-top:81pt;width:124.3pt;height:29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wrapcoords="-1033 -909 -1315 19839 22470 19756 22470 -992 -1033 -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" o:allowincell="f" filled="f" strokecolor="#0f243e [1615]" strokeweight="4.5pt">
                <v:stroke linestyle="thickThin"/>
                <v:textbox style="mso-fit-shape-to-text:t" inset="10.8pt,7.2pt,10.8pt,7.2pt">
                  <w:txbxContent>
                    <w:p w:rsidR="003B22E6" w:rsidRPr="003B22E6" w:rsidRDefault="003B22E6" w:rsidP="003B22E6">
                      <w:pPr>
                        <w:spacing w:after="120" w:line="240" w:lineRule="auto"/>
                        <w:jc w:val="center"/>
                        <w:rPr>
                          <w:rFonts w:ascii="Calibri" w:hAnsi="Calibri" w:cs="Times New Roman"/>
                          <w:b/>
                          <w:sz w:val="20"/>
                          <w:szCs w:val="20"/>
                        </w:rPr>
                      </w:pPr>
                      <w:r w:rsidRPr="003B22E6">
                        <w:rPr>
                          <w:rFonts w:ascii="Calibri" w:hAnsi="Calibri" w:cs="Times New Roman"/>
                          <w:b/>
                          <w:sz w:val="20"/>
                          <w:szCs w:val="20"/>
                        </w:rPr>
                        <w:t>A Rigorous Process</w:t>
                      </w:r>
                    </w:p>
                    <w:p w:rsidR="00817998" w:rsidRPr="008A0468" w:rsidRDefault="00817998" w:rsidP="00817998">
                      <w:pPr>
                        <w:spacing w:after="0" w:line="240" w:lineRule="auto"/>
                        <w:jc w:val="both"/>
                        <w:rPr>
                          <w:rFonts w:ascii="Calibri" w:hAnsi="Calibri" w:cs="Times New Roman"/>
                          <w:sz w:val="18"/>
                          <w:szCs w:val="18"/>
                        </w:rPr>
                      </w:pPr>
                      <w:r w:rsidRPr="008A0468">
                        <w:rPr>
                          <w:rFonts w:ascii="Calibri" w:hAnsi="Calibri" w:cs="Times New Roman"/>
                          <w:sz w:val="18"/>
                          <w:szCs w:val="18"/>
                        </w:rPr>
                        <w:t xml:space="preserve">The process to ensure quality in tenure begins even before securing </w:t>
                      </w:r>
                      <w:r w:rsidR="0076703C">
                        <w:rPr>
                          <w:rFonts w:ascii="Calibri" w:hAnsi="Calibri" w:cs="Times New Roman"/>
                          <w:sz w:val="18"/>
                          <w:szCs w:val="18"/>
                        </w:rPr>
                        <w:t>a</w:t>
                      </w:r>
                      <w:r w:rsidRPr="008A0468">
                        <w:rPr>
                          <w:rFonts w:ascii="Calibri" w:hAnsi="Calibri" w:cs="Times New Roman"/>
                          <w:sz w:val="18"/>
                          <w:szCs w:val="18"/>
                        </w:rPr>
                        <w:t xml:space="preserve"> tenure track position. In the Human</w:t>
                      </w:r>
                      <w:r w:rsidR="00A133F8" w:rsidRPr="008A0468">
                        <w:rPr>
                          <w:rFonts w:ascii="Calibri" w:hAnsi="Calibri" w:cs="Times New Roman"/>
                          <w:sz w:val="18"/>
                          <w:szCs w:val="18"/>
                        </w:rPr>
                        <w:t>ities, for example, only 17% who attempt</w:t>
                      </w:r>
                      <w:r w:rsidRPr="008A0468">
                        <w:rPr>
                          <w:rFonts w:ascii="Calibri" w:hAnsi="Calibri" w:cs="Times New Roman"/>
                          <w:sz w:val="18"/>
                          <w:szCs w:val="18"/>
                        </w:rPr>
                        <w:t xml:space="preserve"> </w:t>
                      </w:r>
                      <w:r w:rsidR="00A133F8" w:rsidRPr="008A0468">
                        <w:rPr>
                          <w:rFonts w:ascii="Calibri" w:hAnsi="Calibri" w:cs="Times New Roman"/>
                          <w:sz w:val="18"/>
                          <w:szCs w:val="18"/>
                        </w:rPr>
                        <w:t>the</w:t>
                      </w:r>
                      <w:r w:rsidRPr="008A0468">
                        <w:rPr>
                          <w:rFonts w:ascii="Calibri" w:hAnsi="Calibri" w:cs="Times New Roman"/>
                          <w:sz w:val="18"/>
                          <w:szCs w:val="18"/>
                        </w:rPr>
                        <w:t xml:space="preserve"> PhD complete it, a third drop out prior to completing the degree, and only half of eventual completers (depending upon discipline) secure a tenure-track position.</w:t>
                      </w:r>
                      <w:r w:rsidR="0023723A">
                        <w:rPr>
                          <w:rFonts w:ascii="Calibri" w:hAnsi="Calibri" w:cs="Times New Roman"/>
                          <w:sz w:val="18"/>
                          <w:szCs w:val="18"/>
                        </w:rPr>
                        <w:t xml:space="preserve"> </w:t>
                      </w:r>
                    </w:p>
                    <w:p w:rsidR="00817998" w:rsidRDefault="00817998" w:rsidP="00817998">
                      <w:pPr>
                        <w:spacing w:after="0" w:line="240" w:lineRule="auto"/>
                        <w:jc w:val="both"/>
                        <w:rPr>
                          <w:rFonts w:ascii="Times New Roman" w:hAnsi="Times New Roman" w:cs="Times New Roman"/>
                          <w:sz w:val="20"/>
                          <w:szCs w:val="20"/>
                        </w:rPr>
                      </w:pPr>
                    </w:p>
                    <w:p w:rsidR="00817998" w:rsidRPr="00817998" w:rsidRDefault="00817998" w:rsidP="005A50B3">
                      <w:pPr>
                        <w:pStyle w:val="FootnoteText"/>
                        <w:jc w:val="center"/>
                        <w:rPr>
                          <w:rFonts w:eastAsiaTheme="majorEastAsia" w:cs="Times New Roman"/>
                          <w:i/>
                          <w:iCs/>
                        </w:rPr>
                      </w:pPr>
                      <w:r w:rsidRPr="00817998">
                        <w:rPr>
                          <w:rFonts w:cs="Times New Roman"/>
                          <w:sz w:val="12"/>
                          <w:szCs w:val="12"/>
                        </w:rPr>
                        <w:t xml:space="preserve">Robert Sowell, “Ph. D. Completion and Attrition: Analysis of Baseline Data,” </w:t>
                      </w:r>
                      <w:r w:rsidRPr="005A50B3">
                        <w:rPr>
                          <w:rFonts w:cs="Times New Roman"/>
                          <w:i/>
                          <w:sz w:val="12"/>
                          <w:szCs w:val="12"/>
                        </w:rPr>
                        <w:t>NSF Workshop</w:t>
                      </w:r>
                      <w:r w:rsidR="005A50B3" w:rsidRPr="005A50B3">
                        <w:rPr>
                          <w:rFonts w:cs="Times New Roman"/>
                          <w:i/>
                          <w:sz w:val="12"/>
                          <w:szCs w:val="12"/>
                        </w:rPr>
                        <w:t>: A Fresh Look at Ph.D. Education</w:t>
                      </w:r>
                      <w:r w:rsidRPr="00817998">
                        <w:rPr>
                          <w:rFonts w:cs="Times New Roman"/>
                          <w:sz w:val="12"/>
                          <w:szCs w:val="12"/>
                        </w:rPr>
                        <w:t>, March 31, 2008.</w:t>
                      </w:r>
                      <w:r w:rsidR="0023723A">
                        <w:rPr>
                          <w:rFonts w:cs="Times New Roman"/>
                          <w:sz w:val="12"/>
                          <w:szCs w:val="12"/>
                        </w:rPr>
                        <w:t xml:space="preserve"> </w:t>
                      </w:r>
                      <w:r w:rsidRPr="00817998">
                        <w:rPr>
                          <w:rFonts w:cs="Times New Roman"/>
                          <w:sz w:val="12"/>
                          <w:szCs w:val="12"/>
                        </w:rPr>
                        <w:t>http://www.phdcompletion.org/resources/CGSNSF2008_Sowell.pdf</w:t>
                      </w:r>
                      <w:r w:rsidR="0023723A">
                        <w:rPr>
                          <w:rFonts w:cs="Times New Roman"/>
                          <w:sz w:val="12"/>
                          <w:szCs w:val="12"/>
                        </w:rPr>
                        <w:t xml:space="preserve"> </w:t>
                      </w:r>
                      <w:r w:rsidRPr="00817998">
                        <w:rPr>
                          <w:rFonts w:cs="Times New Roman"/>
                          <w:sz w:val="12"/>
                          <w:szCs w:val="12"/>
                        </w:rPr>
                        <w:t>&amp; http://www.psmag.com/education/why-you-should-go-to-graduate-school-in-the-humanities-59821/</w:t>
                      </w:r>
                    </w:p>
                  </w:txbxContent>
                </v:textbox>
                <w10:wrap type="tight" anchorx="page" anchory="page"/>
              </v:shape>
            </w:pict>
          </mc:Fallback>
        </mc:AlternateContent>
      </w:r>
      <w:r w:rsidR="00031BCE" w:rsidRPr="005A50B3">
        <w:rPr>
          <w:rFonts w:ascii="Times New Roman" w:hAnsi="Times New Roman" w:cs="Times New Roman"/>
          <w:b/>
          <w:sz w:val="20"/>
          <w:szCs w:val="20"/>
        </w:rPr>
        <w:t>WHAT IS TENURE</w:t>
      </w:r>
      <w:r w:rsidR="004468B0" w:rsidRPr="005A50B3">
        <w:rPr>
          <w:rFonts w:ascii="Times New Roman" w:hAnsi="Times New Roman" w:cs="Times New Roman"/>
          <w:b/>
          <w:sz w:val="20"/>
          <w:szCs w:val="20"/>
        </w:rPr>
        <w:t>?</w:t>
      </w:r>
    </w:p>
    <w:p w:rsidR="0076703C" w:rsidRPr="005A50B3" w:rsidRDefault="0076703C" w:rsidP="0076703C">
      <w:pPr>
        <w:spacing w:after="0" w:line="240" w:lineRule="auto"/>
        <w:rPr>
          <w:rFonts w:ascii="Times New Roman" w:hAnsi="Times New Roman" w:cs="Times New Roman"/>
          <w:b/>
          <w:sz w:val="20"/>
          <w:szCs w:val="20"/>
        </w:rPr>
      </w:pPr>
    </w:p>
    <w:p w:rsidR="00031BCE" w:rsidRDefault="004468B0" w:rsidP="003931C9">
      <w:pPr>
        <w:pStyle w:val="ListParagraph"/>
        <w:numPr>
          <w:ilvl w:val="0"/>
          <w:numId w:val="2"/>
        </w:numPr>
        <w:spacing w:after="0" w:line="240" w:lineRule="auto"/>
        <w:ind w:left="360"/>
        <w:rPr>
          <w:rFonts w:ascii="Times New Roman" w:hAnsi="Times New Roman" w:cs="Times New Roman"/>
          <w:sz w:val="20"/>
          <w:szCs w:val="20"/>
        </w:rPr>
      </w:pPr>
      <w:r w:rsidRPr="005A50B3">
        <w:rPr>
          <w:rFonts w:ascii="Times New Roman" w:hAnsi="Times New Roman" w:cs="Times New Roman"/>
          <w:b/>
          <w:i/>
          <w:sz w:val="20"/>
          <w:szCs w:val="20"/>
        </w:rPr>
        <w:t>Due Process</w:t>
      </w:r>
    </w:p>
    <w:p w:rsidR="00031BCE" w:rsidRDefault="00031BCE" w:rsidP="00031BCE">
      <w:pPr>
        <w:pStyle w:val="ListParagraph"/>
        <w:spacing w:after="0" w:line="240" w:lineRule="auto"/>
        <w:ind w:left="360"/>
        <w:rPr>
          <w:rFonts w:ascii="Times New Roman" w:hAnsi="Times New Roman" w:cs="Times New Roman"/>
          <w:sz w:val="20"/>
          <w:szCs w:val="20"/>
        </w:rPr>
      </w:pPr>
    </w:p>
    <w:p w:rsidR="004468B0" w:rsidRPr="005A50B3" w:rsidRDefault="004468B0" w:rsidP="00031BCE">
      <w:pPr>
        <w:pStyle w:val="ListParagraph"/>
        <w:spacing w:after="0" w:line="240" w:lineRule="auto"/>
        <w:ind w:left="360"/>
        <w:jc w:val="both"/>
        <w:rPr>
          <w:rFonts w:ascii="Times New Roman" w:hAnsi="Times New Roman" w:cs="Times New Roman"/>
          <w:sz w:val="20"/>
          <w:szCs w:val="20"/>
        </w:rPr>
      </w:pPr>
      <w:r w:rsidRPr="005A50B3">
        <w:rPr>
          <w:rFonts w:ascii="Times New Roman" w:hAnsi="Times New Roman" w:cs="Times New Roman"/>
          <w:sz w:val="20"/>
          <w:szCs w:val="20"/>
        </w:rPr>
        <w:t>At its most basic level, tenure guarantees a faculty member the right to due process before he or she may be terminated from a position.</w:t>
      </w:r>
      <w:r w:rsidR="0023723A">
        <w:rPr>
          <w:rFonts w:ascii="Times New Roman" w:hAnsi="Times New Roman" w:cs="Times New Roman"/>
          <w:sz w:val="20"/>
          <w:szCs w:val="20"/>
        </w:rPr>
        <w:t xml:space="preserve"> </w:t>
      </w:r>
      <w:r w:rsidRPr="005A50B3">
        <w:rPr>
          <w:rFonts w:ascii="Times New Roman" w:hAnsi="Times New Roman" w:cs="Times New Roman"/>
          <w:sz w:val="20"/>
          <w:szCs w:val="20"/>
        </w:rPr>
        <w:t xml:space="preserve">Various levels of review of </w:t>
      </w:r>
      <w:r w:rsidR="00164009" w:rsidRPr="005A50B3">
        <w:rPr>
          <w:rFonts w:ascii="Times New Roman" w:hAnsi="Times New Roman" w:cs="Times New Roman"/>
          <w:sz w:val="20"/>
          <w:szCs w:val="20"/>
        </w:rPr>
        <w:t xml:space="preserve">any negative personnel </w:t>
      </w:r>
      <w:r w:rsidRPr="005A50B3">
        <w:rPr>
          <w:rFonts w:ascii="Times New Roman" w:hAnsi="Times New Roman" w:cs="Times New Roman"/>
          <w:sz w:val="20"/>
          <w:szCs w:val="20"/>
        </w:rPr>
        <w:t xml:space="preserve">action </w:t>
      </w:r>
      <w:r w:rsidR="00164009" w:rsidRPr="005A50B3">
        <w:rPr>
          <w:rFonts w:ascii="Times New Roman" w:hAnsi="Times New Roman" w:cs="Times New Roman"/>
          <w:sz w:val="20"/>
          <w:szCs w:val="20"/>
        </w:rPr>
        <w:t xml:space="preserve">(sanctions, demotion, termination, etc.) </w:t>
      </w:r>
      <w:r w:rsidRPr="005A50B3">
        <w:rPr>
          <w:rFonts w:ascii="Times New Roman" w:hAnsi="Times New Roman" w:cs="Times New Roman"/>
          <w:sz w:val="20"/>
          <w:szCs w:val="20"/>
        </w:rPr>
        <w:t>occur</w:t>
      </w:r>
      <w:r w:rsidR="00164009" w:rsidRPr="005A50B3">
        <w:rPr>
          <w:rFonts w:ascii="Times New Roman" w:hAnsi="Times New Roman" w:cs="Times New Roman"/>
          <w:sz w:val="20"/>
          <w:szCs w:val="20"/>
        </w:rPr>
        <w:t xml:space="preserve"> </w:t>
      </w:r>
      <w:r w:rsidRPr="005A50B3">
        <w:rPr>
          <w:rFonts w:ascii="Times New Roman" w:hAnsi="Times New Roman" w:cs="Times New Roman"/>
          <w:sz w:val="20"/>
          <w:szCs w:val="20"/>
        </w:rPr>
        <w:t>to ensure a termination is based upon appropriate reasons and not on inappropriate factors.</w:t>
      </w:r>
      <w:r w:rsidR="00164009" w:rsidRPr="005A50B3">
        <w:rPr>
          <w:rFonts w:ascii="Times New Roman" w:hAnsi="Times New Roman" w:cs="Times New Roman"/>
          <w:sz w:val="20"/>
          <w:szCs w:val="20"/>
        </w:rPr>
        <w:t xml:space="preserve"> Such reviews include input from both faculty peers and administrative supervisors.</w:t>
      </w:r>
    </w:p>
    <w:p w:rsidR="00177526" w:rsidRPr="005A50B3" w:rsidRDefault="00177526" w:rsidP="00177526">
      <w:pPr>
        <w:pStyle w:val="ListParagraph"/>
        <w:spacing w:after="0" w:line="240" w:lineRule="auto"/>
        <w:ind w:left="360"/>
        <w:rPr>
          <w:rFonts w:ascii="Times New Roman" w:hAnsi="Times New Roman" w:cs="Times New Roman"/>
          <w:sz w:val="20"/>
          <w:szCs w:val="20"/>
        </w:rPr>
      </w:pPr>
    </w:p>
    <w:p w:rsidR="00177526" w:rsidRPr="005A50B3" w:rsidRDefault="00177526" w:rsidP="00177526">
      <w:pPr>
        <w:pStyle w:val="ListParagraph"/>
        <w:numPr>
          <w:ilvl w:val="0"/>
          <w:numId w:val="2"/>
        </w:numPr>
        <w:spacing w:after="0" w:line="240" w:lineRule="auto"/>
        <w:ind w:left="360"/>
        <w:rPr>
          <w:rFonts w:ascii="Times New Roman" w:hAnsi="Times New Roman" w:cs="Times New Roman"/>
          <w:sz w:val="20"/>
          <w:szCs w:val="20"/>
        </w:rPr>
      </w:pPr>
      <w:r w:rsidRPr="005A50B3">
        <w:rPr>
          <w:rFonts w:ascii="Times New Roman" w:hAnsi="Times New Roman" w:cs="Times New Roman"/>
          <w:b/>
          <w:i/>
          <w:sz w:val="20"/>
          <w:szCs w:val="20"/>
        </w:rPr>
        <w:t>An Earned Privilege, Not A Right</w:t>
      </w:r>
    </w:p>
    <w:p w:rsidR="00031BCE" w:rsidRDefault="00031BCE" w:rsidP="00031BCE">
      <w:pPr>
        <w:spacing w:after="0" w:line="240" w:lineRule="auto"/>
        <w:rPr>
          <w:rFonts w:ascii="Times New Roman" w:hAnsi="Times New Roman" w:cs="Times New Roman"/>
          <w:sz w:val="20"/>
          <w:szCs w:val="20"/>
        </w:rPr>
      </w:pPr>
    </w:p>
    <w:p w:rsidR="00F0692C" w:rsidRPr="005A50B3" w:rsidRDefault="00177526" w:rsidP="00031BCE">
      <w:pPr>
        <w:spacing w:after="0" w:line="240" w:lineRule="auto"/>
        <w:ind w:left="360"/>
        <w:jc w:val="both"/>
        <w:rPr>
          <w:rFonts w:ascii="Times New Roman" w:hAnsi="Times New Roman" w:cs="Times New Roman"/>
          <w:sz w:val="20"/>
          <w:szCs w:val="20"/>
        </w:rPr>
      </w:pPr>
      <w:r w:rsidRPr="005A50B3">
        <w:rPr>
          <w:rFonts w:ascii="Times New Roman" w:hAnsi="Times New Roman" w:cs="Times New Roman"/>
          <w:sz w:val="20"/>
          <w:szCs w:val="20"/>
        </w:rPr>
        <w:t xml:space="preserve">Tenure is not guaranteed a faculty member; it is earned after a long arduous process created to ensure tenure is awarded appropriately to productive and competent employees. Popular myths abound that tenure is granted automatically after a certain amount of time, or </w:t>
      </w:r>
      <w:r w:rsidR="00F0692C" w:rsidRPr="005A50B3">
        <w:rPr>
          <w:rFonts w:ascii="Times New Roman" w:hAnsi="Times New Roman" w:cs="Times New Roman"/>
          <w:sz w:val="20"/>
          <w:szCs w:val="20"/>
        </w:rPr>
        <w:t>immediately upon being posted to a tenure position, but those ideas are simply untrue.</w:t>
      </w:r>
      <w:r w:rsidR="0023723A">
        <w:rPr>
          <w:rFonts w:ascii="Times New Roman" w:hAnsi="Times New Roman" w:cs="Times New Roman"/>
          <w:sz w:val="20"/>
          <w:szCs w:val="20"/>
        </w:rPr>
        <w:t xml:space="preserve"> </w:t>
      </w:r>
      <w:r w:rsidR="00F0692C" w:rsidRPr="005A50B3">
        <w:rPr>
          <w:rFonts w:ascii="Times New Roman" w:hAnsi="Times New Roman" w:cs="Times New Roman"/>
          <w:sz w:val="20"/>
          <w:szCs w:val="20"/>
        </w:rPr>
        <w:t>Any Departmental Collegial Review Document (DCRD) at WCU will show the significant performance – both quantity and quality – in teaching, scholarship, and service required to be considered for tenure</w:t>
      </w:r>
      <w:r w:rsidR="00817998" w:rsidRPr="005A50B3">
        <w:rPr>
          <w:rFonts w:ascii="Times New Roman" w:hAnsi="Times New Roman" w:cs="Times New Roman"/>
          <w:sz w:val="20"/>
          <w:szCs w:val="20"/>
        </w:rPr>
        <w:t>.</w:t>
      </w:r>
    </w:p>
    <w:p w:rsidR="00542DD9" w:rsidRDefault="00542DD9" w:rsidP="004468B0">
      <w:pPr>
        <w:spacing w:after="0" w:line="240" w:lineRule="auto"/>
        <w:rPr>
          <w:rFonts w:ascii="Times New Roman" w:hAnsi="Times New Roman" w:cs="Times New Roman"/>
          <w:b/>
          <w:sz w:val="20"/>
          <w:szCs w:val="20"/>
        </w:rPr>
      </w:pPr>
    </w:p>
    <w:p w:rsidR="00542DD9" w:rsidRDefault="00542DD9" w:rsidP="004468B0">
      <w:pPr>
        <w:spacing w:after="0" w:line="240" w:lineRule="auto"/>
        <w:rPr>
          <w:rFonts w:ascii="Times New Roman" w:hAnsi="Times New Roman" w:cs="Times New Roman"/>
          <w:b/>
          <w:sz w:val="20"/>
          <w:szCs w:val="20"/>
        </w:rPr>
      </w:pPr>
    </w:p>
    <w:p w:rsidR="004468B0" w:rsidRPr="005A50B3" w:rsidRDefault="00250C5C" w:rsidP="00250C5C">
      <w:pPr>
        <w:spacing w:after="0" w:line="240" w:lineRule="auto"/>
        <w:ind w:left="3060"/>
        <w:rPr>
          <w:rFonts w:ascii="Times New Roman" w:hAnsi="Times New Roman" w:cs="Times New Roman"/>
          <w:b/>
          <w:sz w:val="20"/>
          <w:szCs w:val="20"/>
        </w:rPr>
      </w:pPr>
      <w:r w:rsidRPr="005A50B3">
        <w:rPr>
          <w:rFonts w:ascii="Times New Roman" w:hAnsi="Times New Roman" w:cs="Times New Roman"/>
          <w:noProof/>
          <w:sz w:val="20"/>
          <w:szCs w:val="20"/>
        </w:rPr>
        <mc:AlternateContent>
          <mc:Choice Requires="wps">
            <w:drawing>
              <wp:anchor distT="0" distB="0" distL="114300" distR="114300" simplePos="0" relativeHeight="251663360" behindDoc="1" locked="0" layoutInCell="0" allowOverlap="1" wp14:anchorId="25B2D33D" wp14:editId="585E7FE9">
                <wp:simplePos x="0" y="0"/>
                <wp:positionH relativeFrom="page">
                  <wp:posOffset>377190</wp:posOffset>
                </wp:positionH>
                <wp:positionV relativeFrom="page">
                  <wp:posOffset>3954145</wp:posOffset>
                </wp:positionV>
                <wp:extent cx="2196465" cy="5520690"/>
                <wp:effectExtent l="19050" t="19050" r="32385" b="41910"/>
                <wp:wrapTight wrapText="bothSides">
                  <wp:wrapPolygon edited="1">
                    <wp:start x="0" y="-467"/>
                    <wp:lineTo x="0" y="22200"/>
                    <wp:lineTo x="22598" y="22147"/>
                    <wp:lineTo x="22459" y="-375"/>
                    <wp:lineTo x="0" y="-467"/>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520690"/>
                        </a:xfrm>
                        <a:prstGeom prst="rect">
                          <a:avLst/>
                        </a:prstGeom>
                        <a:noFill/>
                        <a:ln w="57150" cmpd="thickThin">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50C5C" w:rsidRDefault="00E00C29" w:rsidP="00250C5C">
                            <w:pPr>
                              <w:pStyle w:val="FootnoteText"/>
                              <w:jc w:val="center"/>
                              <w:rPr>
                                <w:rFonts w:eastAsiaTheme="majorEastAsia" w:cs="Times New Roman"/>
                                <w:b/>
                                <w:iCs/>
                              </w:rPr>
                            </w:pPr>
                            <w:r w:rsidRPr="00E00C29">
                              <w:rPr>
                                <w:rFonts w:eastAsiaTheme="majorEastAsia" w:cs="Times New Roman"/>
                                <w:b/>
                                <w:iCs/>
                              </w:rPr>
                              <w:t>Academic Responsibility</w:t>
                            </w:r>
                            <w:r w:rsidR="00250C5C">
                              <w:rPr>
                                <w:rFonts w:eastAsiaTheme="majorEastAsia" w:cs="Times New Roman"/>
                                <w:b/>
                                <w:iCs/>
                              </w:rPr>
                              <w:t xml:space="preserve"> </w:t>
                            </w:r>
                          </w:p>
                          <w:p w:rsidR="00E00C29" w:rsidRDefault="00250C5C" w:rsidP="00250C5C">
                            <w:pPr>
                              <w:pStyle w:val="FootnoteText"/>
                              <w:jc w:val="center"/>
                              <w:rPr>
                                <w:rFonts w:eastAsiaTheme="majorEastAsia" w:cs="Times New Roman"/>
                                <w:b/>
                                <w:iCs/>
                              </w:rPr>
                            </w:pPr>
                            <w:r>
                              <w:rPr>
                                <w:rFonts w:eastAsiaTheme="majorEastAsia" w:cs="Times New Roman"/>
                                <w:b/>
                                <w:iCs/>
                              </w:rPr>
                              <w:t>&amp;</w:t>
                            </w:r>
                          </w:p>
                          <w:p w:rsidR="00250C5C" w:rsidRDefault="00250C5C" w:rsidP="00250C5C">
                            <w:pPr>
                              <w:pStyle w:val="FootnoteText"/>
                              <w:spacing w:after="120"/>
                              <w:jc w:val="center"/>
                              <w:rPr>
                                <w:rFonts w:eastAsiaTheme="majorEastAsia" w:cs="Times New Roman"/>
                                <w:b/>
                                <w:iCs/>
                              </w:rPr>
                            </w:pPr>
                            <w:r>
                              <w:rPr>
                                <w:rFonts w:eastAsiaTheme="majorEastAsia" w:cs="Times New Roman"/>
                                <w:b/>
                                <w:iCs/>
                              </w:rPr>
                              <w:t>Academic Freedom</w:t>
                            </w:r>
                          </w:p>
                          <w:p w:rsidR="00250C5C" w:rsidRDefault="00250C5C" w:rsidP="00250C5C">
                            <w:pPr>
                              <w:pStyle w:val="FootnoteText"/>
                              <w:jc w:val="both"/>
                              <w:rPr>
                                <w:rFonts w:eastAsiaTheme="majorEastAsia" w:cs="Times New Roman"/>
                                <w:iCs/>
                                <w:sz w:val="18"/>
                                <w:szCs w:val="18"/>
                              </w:rPr>
                            </w:pPr>
                            <w:proofErr w:type="gramStart"/>
                            <w:r>
                              <w:rPr>
                                <w:rFonts w:eastAsiaTheme="majorEastAsia" w:cs="Times New Roman"/>
                                <w:iCs/>
                                <w:sz w:val="18"/>
                                <w:szCs w:val="18"/>
                              </w:rPr>
                              <w:t>Faculty are</w:t>
                            </w:r>
                            <w:proofErr w:type="gramEnd"/>
                            <w:r>
                              <w:rPr>
                                <w:rFonts w:eastAsiaTheme="majorEastAsia" w:cs="Times New Roman"/>
                                <w:iCs/>
                                <w:sz w:val="18"/>
                                <w:szCs w:val="18"/>
                              </w:rPr>
                              <w:t xml:space="preserve"> </w:t>
                            </w:r>
                            <w:r w:rsidRPr="008A0468">
                              <w:rPr>
                                <w:rFonts w:eastAsiaTheme="majorEastAsia" w:cs="Times New Roman"/>
                                <w:iCs/>
                                <w:sz w:val="18"/>
                                <w:szCs w:val="18"/>
                              </w:rPr>
                              <w:t>“responsible for establishing goals for student learning, for designing and implementing programs . . .</w:t>
                            </w:r>
                            <w:r>
                              <w:rPr>
                                <w:rFonts w:eastAsiaTheme="majorEastAsia" w:cs="Times New Roman"/>
                                <w:iCs/>
                                <w:sz w:val="18"/>
                                <w:szCs w:val="18"/>
                              </w:rPr>
                              <w:t xml:space="preserve"> </w:t>
                            </w:r>
                            <w:r w:rsidRPr="008A0468">
                              <w:rPr>
                                <w:rFonts w:eastAsiaTheme="majorEastAsia" w:cs="Times New Roman"/>
                                <w:iCs/>
                                <w:sz w:val="18"/>
                                <w:szCs w:val="18"/>
                              </w:rPr>
                              <w:t>and for assessing students’ achievement. In these matters, faculty must work collaboratively with their colleagues in their departments, schools, and institutions as well as with relevant administrators.”</w:t>
                            </w:r>
                            <w:r>
                              <w:rPr>
                                <w:rFonts w:eastAsiaTheme="majorEastAsia" w:cs="Times New Roman"/>
                                <w:iCs/>
                                <w:sz w:val="18"/>
                                <w:szCs w:val="18"/>
                              </w:rPr>
                              <w:t xml:space="preserve"> These duties represent their academic </w:t>
                            </w:r>
                            <w:r w:rsidR="00F82370">
                              <w:rPr>
                                <w:rFonts w:eastAsiaTheme="majorEastAsia" w:cs="Times New Roman"/>
                                <w:iCs/>
                                <w:sz w:val="18"/>
                                <w:szCs w:val="18"/>
                              </w:rPr>
                              <w:t>responsibilities</w:t>
                            </w:r>
                            <w:r>
                              <w:rPr>
                                <w:rFonts w:eastAsiaTheme="majorEastAsia" w:cs="Times New Roman"/>
                                <w:iCs/>
                                <w:sz w:val="18"/>
                                <w:szCs w:val="18"/>
                              </w:rPr>
                              <w:t>.  Academic freedom allows faculty to decide how to best fulfil their academic responsibilit</w:t>
                            </w:r>
                            <w:r w:rsidR="00F82370">
                              <w:rPr>
                                <w:rFonts w:eastAsiaTheme="majorEastAsia" w:cs="Times New Roman"/>
                                <w:iCs/>
                                <w:sz w:val="18"/>
                                <w:szCs w:val="18"/>
                              </w:rPr>
                              <w:t>ies</w:t>
                            </w:r>
                            <w:r>
                              <w:rPr>
                                <w:rFonts w:eastAsiaTheme="majorEastAsia" w:cs="Times New Roman"/>
                                <w:iCs/>
                                <w:sz w:val="18"/>
                                <w:szCs w:val="18"/>
                              </w:rPr>
                              <w:t>, how to teach or conduct research to best meet student, institutional, and disciplinary needs. A math professor and a music professor both must grade students (that’s their academic responsibility) but how they go about grading will of course differ, and different faculty teaching the same course might have different assignments with different methods of grading (that’s academic freedom).</w:t>
                            </w:r>
                          </w:p>
                          <w:p w:rsidR="00250C5C" w:rsidRDefault="00250C5C" w:rsidP="00250C5C">
                            <w:pPr>
                              <w:pStyle w:val="FootnoteText"/>
                              <w:jc w:val="both"/>
                              <w:rPr>
                                <w:rFonts w:eastAsiaTheme="majorEastAsia" w:cs="Times New Roman"/>
                                <w:iCs/>
                                <w:sz w:val="18"/>
                                <w:szCs w:val="18"/>
                              </w:rPr>
                            </w:pPr>
                          </w:p>
                          <w:p w:rsidR="00250C5C" w:rsidRDefault="00250C5C" w:rsidP="00250C5C">
                            <w:pPr>
                              <w:pStyle w:val="FootnoteText"/>
                              <w:jc w:val="both"/>
                              <w:rPr>
                                <w:rFonts w:eastAsiaTheme="majorEastAsia" w:cs="Times New Roman"/>
                                <w:iCs/>
                                <w:sz w:val="18"/>
                                <w:szCs w:val="18"/>
                              </w:rPr>
                            </w:pPr>
                            <w:r w:rsidRPr="008A0468">
                              <w:rPr>
                                <w:rFonts w:eastAsiaTheme="majorEastAsia" w:cs="Times New Roman"/>
                                <w:iCs/>
                                <w:sz w:val="18"/>
                                <w:szCs w:val="18"/>
                              </w:rPr>
                              <w:t xml:space="preserve">Academic freedom goes hand-in-hand with </w:t>
                            </w:r>
                            <w:r>
                              <w:rPr>
                                <w:rFonts w:eastAsiaTheme="majorEastAsia" w:cs="Times New Roman"/>
                                <w:iCs/>
                                <w:sz w:val="18"/>
                                <w:szCs w:val="18"/>
                              </w:rPr>
                              <w:t>academic responsibility.</w:t>
                            </w:r>
                            <w:r>
                              <w:rPr>
                                <w:rFonts w:eastAsiaTheme="majorEastAsia" w:cs="Times New Roman"/>
                                <w:iCs/>
                                <w:sz w:val="18"/>
                                <w:szCs w:val="18"/>
                              </w:rPr>
                              <w:t xml:space="preserve"> Faculty are required to fulfill their academic responsibility, but they have the academic freedom to decide how best to do that.</w:t>
                            </w:r>
                          </w:p>
                          <w:p w:rsidR="008A0468" w:rsidRPr="008A0468" w:rsidRDefault="008A0468" w:rsidP="008A0468">
                            <w:pPr>
                              <w:pStyle w:val="FootnoteText"/>
                              <w:jc w:val="both"/>
                              <w:rPr>
                                <w:rFonts w:eastAsiaTheme="majorEastAsia" w:cs="Times New Roman"/>
                                <w:iCs/>
                                <w:sz w:val="18"/>
                                <w:szCs w:val="18"/>
                              </w:rPr>
                            </w:pPr>
                          </w:p>
                          <w:p w:rsidR="00E00C29" w:rsidRPr="008A0468" w:rsidRDefault="00E00C29" w:rsidP="008A0468">
                            <w:pPr>
                              <w:pStyle w:val="FootnoteText"/>
                              <w:jc w:val="center"/>
                              <w:rPr>
                                <w:rFonts w:eastAsiaTheme="majorEastAsia" w:cs="Times New Roman"/>
                                <w:iCs/>
                                <w:sz w:val="12"/>
                                <w:szCs w:val="12"/>
                              </w:rPr>
                            </w:pPr>
                            <w:r w:rsidRPr="008A0468">
                              <w:rPr>
                                <w:rFonts w:eastAsiaTheme="majorEastAsia" w:cs="Times New Roman"/>
                                <w:iCs/>
                                <w:sz w:val="12"/>
                                <w:szCs w:val="12"/>
                              </w:rPr>
                              <w:t xml:space="preserve">“Academic Freedom and Educational Responsibility” </w:t>
                            </w:r>
                            <w:r w:rsidRPr="005A50B3">
                              <w:rPr>
                                <w:rFonts w:eastAsiaTheme="majorEastAsia" w:cs="Times New Roman"/>
                                <w:i/>
                                <w:iCs/>
                                <w:sz w:val="12"/>
                                <w:szCs w:val="12"/>
                              </w:rPr>
                              <w:t>AAC&amp;U Board of Directors' Statement</w:t>
                            </w:r>
                            <w:r w:rsidR="008A0468" w:rsidRPr="008A0468">
                              <w:rPr>
                                <w:rFonts w:eastAsiaTheme="majorEastAsia" w:cs="Times New Roman"/>
                                <w:iCs/>
                                <w:sz w:val="12"/>
                                <w:szCs w:val="12"/>
                              </w:rPr>
                              <w:t>.</w:t>
                            </w:r>
                            <w:r w:rsidRPr="008A0468">
                              <w:rPr>
                                <w:rFonts w:eastAsiaTheme="majorEastAsia" w:cs="Times New Roman"/>
                                <w:iCs/>
                                <w:sz w:val="12"/>
                                <w:szCs w:val="12"/>
                              </w:rPr>
                              <w:t xml:space="preserve"> January 6, 2006 http://www.aacu.org/about/statements/documents/academicFreedom.pdf</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29.7pt;margin-top:311.35pt;width:172.95pt;height:434.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wrapcoords="0 -467 0 22200 22598 22147 22459 -375 0 -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" o:allowincell="f" filled="f" strokecolor="#0f243e [1615]" strokeweight="4.5pt">
                <v:stroke linestyle="thickThin"/>
                <v:textbox inset="10.8pt,7.2pt,10.8pt,7.2pt">
                  <w:txbxContent>
                    <w:p w:rsidR="00250C5C" w:rsidRDefault="00E00C29" w:rsidP="00250C5C">
                      <w:pPr>
                        <w:pStyle w:val="FootnoteText"/>
                        <w:jc w:val="center"/>
                        <w:rPr>
                          <w:rFonts w:eastAsiaTheme="majorEastAsia" w:cs="Times New Roman"/>
                          <w:b/>
                          <w:iCs/>
                        </w:rPr>
                      </w:pPr>
                      <w:r w:rsidRPr="00E00C29">
                        <w:rPr>
                          <w:rFonts w:eastAsiaTheme="majorEastAsia" w:cs="Times New Roman"/>
                          <w:b/>
                          <w:iCs/>
                        </w:rPr>
                        <w:t>Academic Responsibility</w:t>
                      </w:r>
                      <w:r w:rsidR="00250C5C">
                        <w:rPr>
                          <w:rFonts w:eastAsiaTheme="majorEastAsia" w:cs="Times New Roman"/>
                          <w:b/>
                          <w:iCs/>
                        </w:rPr>
                        <w:t xml:space="preserve"> </w:t>
                      </w:r>
                    </w:p>
                    <w:p w:rsidR="00E00C29" w:rsidRDefault="00250C5C" w:rsidP="00250C5C">
                      <w:pPr>
                        <w:pStyle w:val="FootnoteText"/>
                        <w:jc w:val="center"/>
                        <w:rPr>
                          <w:rFonts w:eastAsiaTheme="majorEastAsia" w:cs="Times New Roman"/>
                          <w:b/>
                          <w:iCs/>
                        </w:rPr>
                      </w:pPr>
                      <w:r>
                        <w:rPr>
                          <w:rFonts w:eastAsiaTheme="majorEastAsia" w:cs="Times New Roman"/>
                          <w:b/>
                          <w:iCs/>
                        </w:rPr>
                        <w:t>&amp;</w:t>
                      </w:r>
                    </w:p>
                    <w:p w:rsidR="00250C5C" w:rsidRDefault="00250C5C" w:rsidP="00250C5C">
                      <w:pPr>
                        <w:pStyle w:val="FootnoteText"/>
                        <w:spacing w:after="120"/>
                        <w:jc w:val="center"/>
                        <w:rPr>
                          <w:rFonts w:eastAsiaTheme="majorEastAsia" w:cs="Times New Roman"/>
                          <w:b/>
                          <w:iCs/>
                        </w:rPr>
                      </w:pPr>
                      <w:r>
                        <w:rPr>
                          <w:rFonts w:eastAsiaTheme="majorEastAsia" w:cs="Times New Roman"/>
                          <w:b/>
                          <w:iCs/>
                        </w:rPr>
                        <w:t>Academic Freedom</w:t>
                      </w:r>
                    </w:p>
                    <w:p w:rsidR="00250C5C" w:rsidRDefault="00250C5C" w:rsidP="00250C5C">
                      <w:pPr>
                        <w:pStyle w:val="FootnoteText"/>
                        <w:jc w:val="both"/>
                        <w:rPr>
                          <w:rFonts w:eastAsiaTheme="majorEastAsia" w:cs="Times New Roman"/>
                          <w:iCs/>
                          <w:sz w:val="18"/>
                          <w:szCs w:val="18"/>
                        </w:rPr>
                      </w:pPr>
                      <w:proofErr w:type="gramStart"/>
                      <w:r>
                        <w:rPr>
                          <w:rFonts w:eastAsiaTheme="majorEastAsia" w:cs="Times New Roman"/>
                          <w:iCs/>
                          <w:sz w:val="18"/>
                          <w:szCs w:val="18"/>
                        </w:rPr>
                        <w:t>Faculty are</w:t>
                      </w:r>
                      <w:proofErr w:type="gramEnd"/>
                      <w:r>
                        <w:rPr>
                          <w:rFonts w:eastAsiaTheme="majorEastAsia" w:cs="Times New Roman"/>
                          <w:iCs/>
                          <w:sz w:val="18"/>
                          <w:szCs w:val="18"/>
                        </w:rPr>
                        <w:t xml:space="preserve"> </w:t>
                      </w:r>
                      <w:r w:rsidRPr="008A0468">
                        <w:rPr>
                          <w:rFonts w:eastAsiaTheme="majorEastAsia" w:cs="Times New Roman"/>
                          <w:iCs/>
                          <w:sz w:val="18"/>
                          <w:szCs w:val="18"/>
                        </w:rPr>
                        <w:t>“responsible for establishing goals for student learning, for designing and implementing programs . . .</w:t>
                      </w:r>
                      <w:r>
                        <w:rPr>
                          <w:rFonts w:eastAsiaTheme="majorEastAsia" w:cs="Times New Roman"/>
                          <w:iCs/>
                          <w:sz w:val="18"/>
                          <w:szCs w:val="18"/>
                        </w:rPr>
                        <w:t xml:space="preserve"> </w:t>
                      </w:r>
                      <w:r w:rsidRPr="008A0468">
                        <w:rPr>
                          <w:rFonts w:eastAsiaTheme="majorEastAsia" w:cs="Times New Roman"/>
                          <w:iCs/>
                          <w:sz w:val="18"/>
                          <w:szCs w:val="18"/>
                        </w:rPr>
                        <w:t>and for assessing students’ achievement. In these matters, faculty must work collaboratively with their colleagues in their departments, schools, and institutions as well as with relevant administrators.”</w:t>
                      </w:r>
                      <w:r>
                        <w:rPr>
                          <w:rFonts w:eastAsiaTheme="majorEastAsia" w:cs="Times New Roman"/>
                          <w:iCs/>
                          <w:sz w:val="18"/>
                          <w:szCs w:val="18"/>
                        </w:rPr>
                        <w:t xml:space="preserve"> These duties represent their academic </w:t>
                      </w:r>
                      <w:r w:rsidR="00F82370">
                        <w:rPr>
                          <w:rFonts w:eastAsiaTheme="majorEastAsia" w:cs="Times New Roman"/>
                          <w:iCs/>
                          <w:sz w:val="18"/>
                          <w:szCs w:val="18"/>
                        </w:rPr>
                        <w:t>responsibilities</w:t>
                      </w:r>
                      <w:r>
                        <w:rPr>
                          <w:rFonts w:eastAsiaTheme="majorEastAsia" w:cs="Times New Roman"/>
                          <w:iCs/>
                          <w:sz w:val="18"/>
                          <w:szCs w:val="18"/>
                        </w:rPr>
                        <w:t>.  Academic freedom allows faculty to decide how to best fulfil their academic responsibilit</w:t>
                      </w:r>
                      <w:r w:rsidR="00F82370">
                        <w:rPr>
                          <w:rFonts w:eastAsiaTheme="majorEastAsia" w:cs="Times New Roman"/>
                          <w:iCs/>
                          <w:sz w:val="18"/>
                          <w:szCs w:val="18"/>
                        </w:rPr>
                        <w:t>ies</w:t>
                      </w:r>
                      <w:r>
                        <w:rPr>
                          <w:rFonts w:eastAsiaTheme="majorEastAsia" w:cs="Times New Roman"/>
                          <w:iCs/>
                          <w:sz w:val="18"/>
                          <w:szCs w:val="18"/>
                        </w:rPr>
                        <w:t>, how to teach or conduct research to best meet student, institutional, and disciplinary needs. A math professor and a music professor both must grade students (that’s their academic responsibility) but how they go about grading will of course differ, and different faculty teaching the same course might have different assignments with different methods of grading (that’s academic freedom).</w:t>
                      </w:r>
                    </w:p>
                    <w:p w:rsidR="00250C5C" w:rsidRDefault="00250C5C" w:rsidP="00250C5C">
                      <w:pPr>
                        <w:pStyle w:val="FootnoteText"/>
                        <w:jc w:val="both"/>
                        <w:rPr>
                          <w:rFonts w:eastAsiaTheme="majorEastAsia" w:cs="Times New Roman"/>
                          <w:iCs/>
                          <w:sz w:val="18"/>
                          <w:szCs w:val="18"/>
                        </w:rPr>
                      </w:pPr>
                    </w:p>
                    <w:p w:rsidR="00250C5C" w:rsidRDefault="00250C5C" w:rsidP="00250C5C">
                      <w:pPr>
                        <w:pStyle w:val="FootnoteText"/>
                        <w:jc w:val="both"/>
                        <w:rPr>
                          <w:rFonts w:eastAsiaTheme="majorEastAsia" w:cs="Times New Roman"/>
                          <w:iCs/>
                          <w:sz w:val="18"/>
                          <w:szCs w:val="18"/>
                        </w:rPr>
                      </w:pPr>
                      <w:r w:rsidRPr="008A0468">
                        <w:rPr>
                          <w:rFonts w:eastAsiaTheme="majorEastAsia" w:cs="Times New Roman"/>
                          <w:iCs/>
                          <w:sz w:val="18"/>
                          <w:szCs w:val="18"/>
                        </w:rPr>
                        <w:t xml:space="preserve">Academic freedom goes hand-in-hand with </w:t>
                      </w:r>
                      <w:r>
                        <w:rPr>
                          <w:rFonts w:eastAsiaTheme="majorEastAsia" w:cs="Times New Roman"/>
                          <w:iCs/>
                          <w:sz w:val="18"/>
                          <w:szCs w:val="18"/>
                        </w:rPr>
                        <w:t>academic responsibility.</w:t>
                      </w:r>
                      <w:r>
                        <w:rPr>
                          <w:rFonts w:eastAsiaTheme="majorEastAsia" w:cs="Times New Roman"/>
                          <w:iCs/>
                          <w:sz w:val="18"/>
                          <w:szCs w:val="18"/>
                        </w:rPr>
                        <w:t xml:space="preserve"> Faculty are required to fulfill their academic responsibility, but they have the academic freedom to decide how best to do that.</w:t>
                      </w:r>
                    </w:p>
                    <w:p w:rsidR="008A0468" w:rsidRPr="008A0468" w:rsidRDefault="008A0468" w:rsidP="008A0468">
                      <w:pPr>
                        <w:pStyle w:val="FootnoteText"/>
                        <w:jc w:val="both"/>
                        <w:rPr>
                          <w:rFonts w:eastAsiaTheme="majorEastAsia" w:cs="Times New Roman"/>
                          <w:iCs/>
                          <w:sz w:val="18"/>
                          <w:szCs w:val="18"/>
                        </w:rPr>
                      </w:pPr>
                    </w:p>
                    <w:p w:rsidR="00E00C29" w:rsidRPr="008A0468" w:rsidRDefault="00E00C29" w:rsidP="008A0468">
                      <w:pPr>
                        <w:pStyle w:val="FootnoteText"/>
                        <w:jc w:val="center"/>
                        <w:rPr>
                          <w:rFonts w:eastAsiaTheme="majorEastAsia" w:cs="Times New Roman"/>
                          <w:iCs/>
                          <w:sz w:val="12"/>
                          <w:szCs w:val="12"/>
                        </w:rPr>
                      </w:pPr>
                      <w:r w:rsidRPr="008A0468">
                        <w:rPr>
                          <w:rFonts w:eastAsiaTheme="majorEastAsia" w:cs="Times New Roman"/>
                          <w:iCs/>
                          <w:sz w:val="12"/>
                          <w:szCs w:val="12"/>
                        </w:rPr>
                        <w:t xml:space="preserve">“Academic Freedom and Educational Responsibility” </w:t>
                      </w:r>
                      <w:r w:rsidRPr="005A50B3">
                        <w:rPr>
                          <w:rFonts w:eastAsiaTheme="majorEastAsia" w:cs="Times New Roman"/>
                          <w:i/>
                          <w:iCs/>
                          <w:sz w:val="12"/>
                          <w:szCs w:val="12"/>
                        </w:rPr>
                        <w:t>AAC&amp;U Board of Directors' Statement</w:t>
                      </w:r>
                      <w:r w:rsidR="008A0468" w:rsidRPr="008A0468">
                        <w:rPr>
                          <w:rFonts w:eastAsiaTheme="majorEastAsia" w:cs="Times New Roman"/>
                          <w:iCs/>
                          <w:sz w:val="12"/>
                          <w:szCs w:val="12"/>
                        </w:rPr>
                        <w:t>.</w:t>
                      </w:r>
                      <w:r w:rsidRPr="008A0468">
                        <w:rPr>
                          <w:rFonts w:eastAsiaTheme="majorEastAsia" w:cs="Times New Roman"/>
                          <w:iCs/>
                          <w:sz w:val="12"/>
                          <w:szCs w:val="12"/>
                        </w:rPr>
                        <w:t xml:space="preserve"> January 6, 2006 http://www.aacu.org/about/statements/documents/academicFreedom.pdf</w:t>
                      </w:r>
                    </w:p>
                  </w:txbxContent>
                </v:textbox>
                <w10:wrap type="tight" anchorx="page" anchory="page"/>
              </v:shape>
            </w:pict>
          </mc:Fallback>
        </mc:AlternateContent>
      </w:r>
      <w:r w:rsidR="00031BCE" w:rsidRPr="005A50B3">
        <w:rPr>
          <w:rFonts w:ascii="Times New Roman" w:hAnsi="Times New Roman" w:cs="Times New Roman"/>
          <w:b/>
          <w:sz w:val="20"/>
          <w:szCs w:val="20"/>
        </w:rPr>
        <w:t>WHAT TENURE IS NOT</w:t>
      </w:r>
    </w:p>
    <w:p w:rsidR="004468B0" w:rsidRPr="005A50B3" w:rsidRDefault="004468B0" w:rsidP="004468B0">
      <w:pPr>
        <w:spacing w:after="0" w:line="240" w:lineRule="auto"/>
        <w:rPr>
          <w:rFonts w:ascii="Times New Roman" w:hAnsi="Times New Roman" w:cs="Times New Roman"/>
          <w:sz w:val="20"/>
          <w:szCs w:val="20"/>
        </w:rPr>
      </w:pPr>
    </w:p>
    <w:p w:rsidR="00250C5C" w:rsidRPr="00250C5C" w:rsidRDefault="004468B0" w:rsidP="00250C5C">
      <w:pPr>
        <w:spacing w:after="0" w:line="240" w:lineRule="auto"/>
        <w:ind w:left="3060" w:right="-90"/>
        <w:rPr>
          <w:rFonts w:ascii="Times New Roman" w:hAnsi="Times New Roman" w:cs="Times New Roman"/>
          <w:sz w:val="20"/>
          <w:szCs w:val="20"/>
        </w:rPr>
      </w:pPr>
      <w:r w:rsidRPr="00250C5C">
        <w:rPr>
          <w:rFonts w:ascii="Times New Roman" w:hAnsi="Times New Roman" w:cs="Times New Roman"/>
          <w:b/>
          <w:i/>
          <w:sz w:val="20"/>
          <w:szCs w:val="20"/>
        </w:rPr>
        <w:t xml:space="preserve">Guarantee of </w:t>
      </w:r>
      <w:r w:rsidR="003931C9" w:rsidRPr="00250C5C">
        <w:rPr>
          <w:rFonts w:ascii="Times New Roman" w:hAnsi="Times New Roman" w:cs="Times New Roman"/>
          <w:b/>
          <w:i/>
          <w:sz w:val="20"/>
          <w:szCs w:val="20"/>
        </w:rPr>
        <w:t xml:space="preserve">a </w:t>
      </w:r>
      <w:r w:rsidRPr="00250C5C">
        <w:rPr>
          <w:rFonts w:ascii="Times New Roman" w:hAnsi="Times New Roman" w:cs="Times New Roman"/>
          <w:b/>
          <w:i/>
          <w:sz w:val="20"/>
          <w:szCs w:val="20"/>
        </w:rPr>
        <w:t>job for life</w:t>
      </w:r>
    </w:p>
    <w:p w:rsidR="00031BCE" w:rsidRDefault="00031BCE" w:rsidP="00250C5C">
      <w:pPr>
        <w:pStyle w:val="ListParagraph"/>
        <w:spacing w:after="0" w:line="240" w:lineRule="auto"/>
        <w:ind w:left="3060" w:right="-90"/>
        <w:rPr>
          <w:rFonts w:ascii="Times New Roman" w:hAnsi="Times New Roman" w:cs="Times New Roman"/>
          <w:sz w:val="20"/>
          <w:szCs w:val="20"/>
        </w:rPr>
      </w:pPr>
      <w:r>
        <w:rPr>
          <w:rFonts w:ascii="Times New Roman" w:hAnsi="Times New Roman" w:cs="Times New Roman"/>
          <w:sz w:val="20"/>
          <w:szCs w:val="20"/>
        </w:rPr>
        <w:t>(</w:t>
      </w:r>
      <w:proofErr w:type="gramStart"/>
      <w:r w:rsidR="004468B0" w:rsidRPr="005A50B3">
        <w:rPr>
          <w:rFonts w:ascii="Times New Roman" w:hAnsi="Times New Roman" w:cs="Times New Roman"/>
          <w:sz w:val="20"/>
          <w:szCs w:val="20"/>
        </w:rPr>
        <w:t>or</w:t>
      </w:r>
      <w:proofErr w:type="gramEnd"/>
      <w:r w:rsidR="004468B0" w:rsidRPr="005A50B3">
        <w:rPr>
          <w:rFonts w:ascii="Times New Roman" w:hAnsi="Times New Roman" w:cs="Times New Roman"/>
          <w:sz w:val="20"/>
          <w:szCs w:val="20"/>
        </w:rPr>
        <w:t xml:space="preserve"> assurance that a professor will never be terminated, removed from a</w:t>
      </w:r>
      <w:r>
        <w:rPr>
          <w:rFonts w:ascii="Times New Roman" w:hAnsi="Times New Roman" w:cs="Times New Roman"/>
          <w:sz w:val="20"/>
          <w:szCs w:val="20"/>
        </w:rPr>
        <w:t xml:space="preserve"> position, or reassigned duties)</w:t>
      </w:r>
      <w:r w:rsidR="003931C9" w:rsidRPr="005A50B3">
        <w:rPr>
          <w:rFonts w:ascii="Times New Roman" w:hAnsi="Times New Roman" w:cs="Times New Roman"/>
          <w:sz w:val="20"/>
          <w:szCs w:val="20"/>
        </w:rPr>
        <w:t xml:space="preserve"> </w:t>
      </w:r>
    </w:p>
    <w:p w:rsidR="00031BCE" w:rsidRDefault="00031BCE" w:rsidP="00250C5C">
      <w:pPr>
        <w:pStyle w:val="ListParagraph"/>
        <w:spacing w:after="0" w:line="240" w:lineRule="auto"/>
        <w:ind w:left="3060" w:right="-90"/>
        <w:rPr>
          <w:rFonts w:ascii="Times New Roman" w:hAnsi="Times New Roman" w:cs="Times New Roman"/>
          <w:noProof/>
          <w:sz w:val="20"/>
          <w:szCs w:val="20"/>
        </w:rPr>
      </w:pPr>
    </w:p>
    <w:p w:rsidR="00DD3055" w:rsidRDefault="004468B0" w:rsidP="00250C5C">
      <w:pPr>
        <w:pStyle w:val="ListParagraph"/>
        <w:spacing w:after="0" w:line="240" w:lineRule="auto"/>
        <w:ind w:left="3420" w:right="-90"/>
        <w:jc w:val="both"/>
        <w:rPr>
          <w:rFonts w:ascii="Times New Roman" w:hAnsi="Times New Roman" w:cs="Times New Roman"/>
          <w:sz w:val="20"/>
          <w:szCs w:val="20"/>
        </w:rPr>
      </w:pPr>
      <w:r w:rsidRPr="005A50B3">
        <w:rPr>
          <w:rFonts w:ascii="Times New Roman" w:hAnsi="Times New Roman" w:cs="Times New Roman"/>
          <w:sz w:val="20"/>
          <w:szCs w:val="20"/>
        </w:rPr>
        <w:t>It is a common misperception, both among the general public and among some faculty</w:t>
      </w:r>
      <w:r w:rsidR="00435CC3" w:rsidRPr="005A50B3">
        <w:rPr>
          <w:rFonts w:ascii="Times New Roman" w:hAnsi="Times New Roman" w:cs="Times New Roman"/>
          <w:sz w:val="20"/>
          <w:szCs w:val="20"/>
        </w:rPr>
        <w:t>, that</w:t>
      </w:r>
      <w:r w:rsidRPr="005A50B3">
        <w:rPr>
          <w:rFonts w:ascii="Times New Roman" w:hAnsi="Times New Roman" w:cs="Times New Roman"/>
          <w:sz w:val="20"/>
          <w:szCs w:val="20"/>
        </w:rPr>
        <w:t xml:space="preserve"> tenure means </w:t>
      </w:r>
      <w:r w:rsidR="005A50B3">
        <w:rPr>
          <w:rFonts w:ascii="Times New Roman" w:hAnsi="Times New Roman" w:cs="Times New Roman"/>
          <w:sz w:val="20"/>
          <w:szCs w:val="20"/>
        </w:rPr>
        <w:t>a faculty member</w:t>
      </w:r>
      <w:r w:rsidRPr="005A50B3">
        <w:rPr>
          <w:rFonts w:ascii="Times New Roman" w:hAnsi="Times New Roman" w:cs="Times New Roman"/>
          <w:sz w:val="20"/>
          <w:szCs w:val="20"/>
        </w:rPr>
        <w:t xml:space="preserve"> can never be terminated</w:t>
      </w:r>
      <w:r w:rsidR="005A50B3">
        <w:rPr>
          <w:rFonts w:ascii="Times New Roman" w:hAnsi="Times New Roman" w:cs="Times New Roman"/>
          <w:sz w:val="20"/>
          <w:szCs w:val="20"/>
        </w:rPr>
        <w:t>, reprimanded, or otherwise receive deleterious personnel actions</w:t>
      </w:r>
      <w:r w:rsidRPr="005A50B3">
        <w:rPr>
          <w:rFonts w:ascii="Times New Roman" w:hAnsi="Times New Roman" w:cs="Times New Roman"/>
          <w:sz w:val="20"/>
          <w:szCs w:val="20"/>
        </w:rPr>
        <w:t>.</w:t>
      </w:r>
      <w:r w:rsidR="0023723A">
        <w:rPr>
          <w:rFonts w:ascii="Times New Roman" w:hAnsi="Times New Roman" w:cs="Times New Roman"/>
          <w:sz w:val="20"/>
          <w:szCs w:val="20"/>
        </w:rPr>
        <w:t xml:space="preserve"> </w:t>
      </w:r>
      <w:r w:rsidRPr="005A50B3">
        <w:rPr>
          <w:rFonts w:ascii="Times New Roman" w:hAnsi="Times New Roman" w:cs="Times New Roman"/>
          <w:sz w:val="20"/>
          <w:szCs w:val="20"/>
        </w:rPr>
        <w:t xml:space="preserve">There are a </w:t>
      </w:r>
      <w:r w:rsidR="00435CC3" w:rsidRPr="005A50B3">
        <w:rPr>
          <w:rFonts w:ascii="Times New Roman" w:hAnsi="Times New Roman" w:cs="Times New Roman"/>
          <w:sz w:val="20"/>
          <w:szCs w:val="20"/>
        </w:rPr>
        <w:t>number</w:t>
      </w:r>
      <w:r w:rsidRPr="005A50B3">
        <w:rPr>
          <w:rFonts w:ascii="Times New Roman" w:hAnsi="Times New Roman" w:cs="Times New Roman"/>
          <w:sz w:val="20"/>
          <w:szCs w:val="20"/>
        </w:rPr>
        <w:t xml:space="preserve"> of acceptable and appropriate reason</w:t>
      </w:r>
      <w:r w:rsidR="008C2ECC" w:rsidRPr="005A50B3">
        <w:rPr>
          <w:rFonts w:ascii="Times New Roman" w:hAnsi="Times New Roman" w:cs="Times New Roman"/>
          <w:sz w:val="20"/>
          <w:szCs w:val="20"/>
        </w:rPr>
        <w:t xml:space="preserve">s to </w:t>
      </w:r>
      <w:r w:rsidR="005A50B3">
        <w:rPr>
          <w:rFonts w:ascii="Times New Roman" w:hAnsi="Times New Roman" w:cs="Times New Roman"/>
          <w:sz w:val="20"/>
          <w:szCs w:val="20"/>
        </w:rPr>
        <w:t xml:space="preserve">reprimand or </w:t>
      </w:r>
      <w:r w:rsidR="008C2ECC" w:rsidRPr="005A50B3">
        <w:rPr>
          <w:rFonts w:ascii="Times New Roman" w:hAnsi="Times New Roman" w:cs="Times New Roman"/>
          <w:sz w:val="20"/>
          <w:szCs w:val="20"/>
        </w:rPr>
        <w:t>terminate the employment of a tenured faculty member</w:t>
      </w:r>
      <w:r w:rsidR="00435CC3" w:rsidRPr="005A50B3">
        <w:rPr>
          <w:rFonts w:ascii="Times New Roman" w:hAnsi="Times New Roman" w:cs="Times New Roman"/>
          <w:sz w:val="20"/>
          <w:szCs w:val="20"/>
        </w:rPr>
        <w:t xml:space="preserve">, and every year sees </w:t>
      </w:r>
      <w:r w:rsidR="005A50B3">
        <w:rPr>
          <w:rFonts w:ascii="Times New Roman" w:hAnsi="Times New Roman" w:cs="Times New Roman"/>
          <w:sz w:val="20"/>
          <w:szCs w:val="20"/>
        </w:rPr>
        <w:t xml:space="preserve">examples of </w:t>
      </w:r>
      <w:r w:rsidR="00435CC3" w:rsidRPr="005A50B3">
        <w:rPr>
          <w:rFonts w:ascii="Times New Roman" w:hAnsi="Times New Roman" w:cs="Times New Roman"/>
          <w:sz w:val="20"/>
          <w:szCs w:val="20"/>
        </w:rPr>
        <w:t>personnel actions against tenured faculty</w:t>
      </w:r>
      <w:r w:rsidR="008C2ECC" w:rsidRPr="005A50B3">
        <w:rPr>
          <w:rFonts w:ascii="Times New Roman" w:hAnsi="Times New Roman" w:cs="Times New Roman"/>
          <w:sz w:val="20"/>
          <w:szCs w:val="20"/>
        </w:rPr>
        <w:t>.</w:t>
      </w:r>
      <w:r w:rsidR="0023723A">
        <w:rPr>
          <w:rFonts w:ascii="Times New Roman" w:hAnsi="Times New Roman" w:cs="Times New Roman"/>
          <w:sz w:val="20"/>
          <w:szCs w:val="20"/>
        </w:rPr>
        <w:t xml:space="preserve"> </w:t>
      </w:r>
      <w:r w:rsidR="008C2ECC" w:rsidRPr="005A50B3">
        <w:rPr>
          <w:rFonts w:ascii="Times New Roman" w:hAnsi="Times New Roman" w:cs="Times New Roman"/>
          <w:sz w:val="20"/>
          <w:szCs w:val="20"/>
        </w:rPr>
        <w:t xml:space="preserve">Depending upon the severity and/or recurrence of such activities, </w:t>
      </w:r>
      <w:r w:rsidR="00435CC3" w:rsidRPr="005A50B3">
        <w:rPr>
          <w:rFonts w:ascii="Times New Roman" w:hAnsi="Times New Roman" w:cs="Times New Roman"/>
          <w:sz w:val="20"/>
          <w:szCs w:val="20"/>
        </w:rPr>
        <w:t xml:space="preserve">for example, </w:t>
      </w:r>
      <w:r w:rsidR="008C2ECC" w:rsidRPr="005A50B3">
        <w:rPr>
          <w:rFonts w:ascii="Times New Roman" w:hAnsi="Times New Roman" w:cs="Times New Roman"/>
          <w:sz w:val="20"/>
          <w:szCs w:val="20"/>
        </w:rPr>
        <w:t>a tenured faculty member may be terminated for actions such as negligence, non-performance of duties, termination of</w:t>
      </w:r>
      <w:r w:rsidR="00435CC3" w:rsidRPr="005A50B3">
        <w:rPr>
          <w:rFonts w:ascii="Times New Roman" w:hAnsi="Times New Roman" w:cs="Times New Roman"/>
          <w:sz w:val="20"/>
          <w:szCs w:val="20"/>
        </w:rPr>
        <w:t xml:space="preserve"> the </w:t>
      </w:r>
      <w:r w:rsidR="008C2ECC" w:rsidRPr="005A50B3">
        <w:rPr>
          <w:rFonts w:ascii="Times New Roman" w:hAnsi="Times New Roman" w:cs="Times New Roman"/>
          <w:sz w:val="20"/>
          <w:szCs w:val="20"/>
        </w:rPr>
        <w:t xml:space="preserve">program, or financial exigency. </w:t>
      </w:r>
    </w:p>
    <w:p w:rsidR="00DD3055" w:rsidRDefault="00DD3055" w:rsidP="00250C5C">
      <w:pPr>
        <w:pStyle w:val="ListParagraph"/>
        <w:spacing w:after="0" w:line="240" w:lineRule="auto"/>
        <w:ind w:left="3420" w:right="-90"/>
        <w:jc w:val="both"/>
        <w:rPr>
          <w:rFonts w:ascii="Times New Roman" w:hAnsi="Times New Roman" w:cs="Times New Roman"/>
          <w:sz w:val="20"/>
          <w:szCs w:val="20"/>
        </w:rPr>
      </w:pPr>
    </w:p>
    <w:p w:rsidR="004468B0" w:rsidRPr="005A50B3" w:rsidRDefault="0010080C" w:rsidP="00250C5C">
      <w:pPr>
        <w:pStyle w:val="ListParagraph"/>
        <w:spacing w:after="0" w:line="240" w:lineRule="auto"/>
        <w:ind w:left="3420" w:right="-90"/>
        <w:jc w:val="both"/>
        <w:rPr>
          <w:rFonts w:ascii="Times New Roman" w:hAnsi="Times New Roman" w:cs="Times New Roman"/>
          <w:sz w:val="20"/>
          <w:szCs w:val="20"/>
        </w:rPr>
      </w:pPr>
      <w:r w:rsidRPr="005A50B3">
        <w:rPr>
          <w:rFonts w:ascii="Times New Roman" w:hAnsi="Times New Roman" w:cs="Times New Roman"/>
          <w:sz w:val="20"/>
          <w:szCs w:val="20"/>
        </w:rPr>
        <w:t xml:space="preserve">While it is difficult to terminate a tenured faculty member, that difficulty in part derives from how difficult it is to become one and the checks and balances in place to ensure only the best faculty are tenured. A recent survey of American faculty showed that 20% of probationary </w:t>
      </w:r>
      <w:proofErr w:type="gramStart"/>
      <w:r w:rsidRPr="005A50B3">
        <w:rPr>
          <w:rFonts w:ascii="Times New Roman" w:hAnsi="Times New Roman" w:cs="Times New Roman"/>
          <w:sz w:val="20"/>
          <w:szCs w:val="20"/>
        </w:rPr>
        <w:t>faculty (tenure-track) were</w:t>
      </w:r>
      <w:proofErr w:type="gramEnd"/>
      <w:r w:rsidRPr="005A50B3">
        <w:rPr>
          <w:rFonts w:ascii="Times New Roman" w:hAnsi="Times New Roman" w:cs="Times New Roman"/>
          <w:sz w:val="20"/>
          <w:szCs w:val="20"/>
        </w:rPr>
        <w:t xml:space="preserve"> denied tenure, and even more did not make it to the point where they were considered for tenure. </w:t>
      </w:r>
      <w:r w:rsidR="005A50B3">
        <w:rPr>
          <w:rFonts w:ascii="Times New Roman" w:hAnsi="Times New Roman" w:cs="Times New Roman"/>
          <w:sz w:val="20"/>
          <w:szCs w:val="20"/>
        </w:rPr>
        <w:t xml:space="preserve">It </w:t>
      </w:r>
      <w:r w:rsidR="00690389" w:rsidRPr="005A50B3">
        <w:rPr>
          <w:rFonts w:ascii="Times New Roman" w:hAnsi="Times New Roman" w:cs="Times New Roman"/>
          <w:sz w:val="20"/>
          <w:szCs w:val="20"/>
        </w:rPr>
        <w:t xml:space="preserve">is uncommon to hear of a tenured faculty member being terminated, but </w:t>
      </w:r>
      <w:r w:rsidR="00164009" w:rsidRPr="005A50B3">
        <w:rPr>
          <w:rFonts w:ascii="Times New Roman" w:hAnsi="Times New Roman" w:cs="Times New Roman"/>
          <w:sz w:val="20"/>
          <w:szCs w:val="20"/>
        </w:rPr>
        <w:t xml:space="preserve">that should not be </w:t>
      </w:r>
      <w:r w:rsidR="00690389" w:rsidRPr="005A50B3">
        <w:rPr>
          <w:rFonts w:ascii="Times New Roman" w:hAnsi="Times New Roman" w:cs="Times New Roman"/>
          <w:sz w:val="20"/>
          <w:szCs w:val="20"/>
        </w:rPr>
        <w:t xml:space="preserve">surprising when the </w:t>
      </w:r>
      <w:r w:rsidR="00164009" w:rsidRPr="005A50B3">
        <w:rPr>
          <w:rFonts w:ascii="Times New Roman" w:hAnsi="Times New Roman" w:cs="Times New Roman"/>
          <w:sz w:val="20"/>
          <w:szCs w:val="20"/>
        </w:rPr>
        <w:t>process</w:t>
      </w:r>
      <w:r w:rsidR="00690389" w:rsidRPr="005A50B3">
        <w:rPr>
          <w:rFonts w:ascii="Times New Roman" w:hAnsi="Times New Roman" w:cs="Times New Roman"/>
          <w:sz w:val="20"/>
          <w:szCs w:val="20"/>
        </w:rPr>
        <w:t xml:space="preserve"> tenures only small minority of </w:t>
      </w:r>
      <w:proofErr w:type="gramStart"/>
      <w:r w:rsidR="00690389" w:rsidRPr="005A50B3">
        <w:rPr>
          <w:rFonts w:ascii="Times New Roman" w:hAnsi="Times New Roman" w:cs="Times New Roman"/>
          <w:sz w:val="20"/>
          <w:szCs w:val="20"/>
        </w:rPr>
        <w:t>faculty,</w:t>
      </w:r>
      <w:proofErr w:type="gramEnd"/>
      <w:r w:rsidR="00690389" w:rsidRPr="005A50B3">
        <w:rPr>
          <w:rFonts w:ascii="Times New Roman" w:hAnsi="Times New Roman" w:cs="Times New Roman"/>
          <w:sz w:val="20"/>
          <w:szCs w:val="20"/>
        </w:rPr>
        <w:t xml:space="preserve"> and only those who have proven exceptional abilities in th</w:t>
      </w:r>
      <w:r w:rsidR="00031BCE">
        <w:rPr>
          <w:rFonts w:ascii="Times New Roman" w:hAnsi="Times New Roman" w:cs="Times New Roman"/>
          <w:sz w:val="20"/>
          <w:szCs w:val="20"/>
        </w:rPr>
        <w:t>e classroom and in the</w:t>
      </w:r>
      <w:r w:rsidR="00690389" w:rsidRPr="005A50B3">
        <w:rPr>
          <w:rFonts w:ascii="Times New Roman" w:hAnsi="Times New Roman" w:cs="Times New Roman"/>
          <w:sz w:val="20"/>
          <w:szCs w:val="20"/>
        </w:rPr>
        <w:t xml:space="preserve"> field after several years of intense scrutiny by peers and administrative supervisors</w:t>
      </w:r>
      <w:r w:rsidR="00164009" w:rsidRPr="005A50B3">
        <w:rPr>
          <w:rFonts w:ascii="Times New Roman" w:hAnsi="Times New Roman" w:cs="Times New Roman"/>
          <w:sz w:val="20"/>
          <w:szCs w:val="20"/>
        </w:rPr>
        <w:t>.</w:t>
      </w:r>
    </w:p>
    <w:p w:rsidR="004468B0" w:rsidRPr="005A50B3" w:rsidRDefault="004468B0" w:rsidP="003931C9">
      <w:pPr>
        <w:pStyle w:val="ListParagraph"/>
        <w:spacing w:after="0" w:line="240" w:lineRule="auto"/>
        <w:ind w:left="360"/>
        <w:rPr>
          <w:rFonts w:ascii="Times New Roman" w:hAnsi="Times New Roman" w:cs="Times New Roman"/>
          <w:sz w:val="20"/>
          <w:szCs w:val="20"/>
        </w:rPr>
      </w:pPr>
    </w:p>
    <w:p w:rsidR="00031BCE" w:rsidRPr="00250C5C" w:rsidRDefault="009D5E9E" w:rsidP="00250C5C">
      <w:pPr>
        <w:spacing w:after="0" w:line="240" w:lineRule="auto"/>
        <w:ind w:left="3060"/>
        <w:rPr>
          <w:rFonts w:ascii="Times New Roman" w:hAnsi="Times New Roman" w:cs="Times New Roman"/>
          <w:sz w:val="20"/>
          <w:szCs w:val="20"/>
        </w:rPr>
      </w:pPr>
      <w:r w:rsidRPr="00250C5C">
        <w:rPr>
          <w:rFonts w:ascii="Times New Roman" w:hAnsi="Times New Roman" w:cs="Times New Roman"/>
          <w:b/>
          <w:i/>
          <w:sz w:val="20"/>
          <w:szCs w:val="20"/>
        </w:rPr>
        <w:t>The right to do or say anything, or</w:t>
      </w:r>
      <w:r w:rsidR="0010080C" w:rsidRPr="00250C5C">
        <w:rPr>
          <w:rFonts w:ascii="Times New Roman" w:hAnsi="Times New Roman" w:cs="Times New Roman"/>
          <w:b/>
          <w:i/>
          <w:sz w:val="20"/>
          <w:szCs w:val="20"/>
        </w:rPr>
        <w:t xml:space="preserve"> license to</w:t>
      </w:r>
      <w:r w:rsidRPr="00250C5C">
        <w:rPr>
          <w:rFonts w:ascii="Times New Roman" w:hAnsi="Times New Roman" w:cs="Times New Roman"/>
          <w:b/>
          <w:i/>
          <w:sz w:val="20"/>
          <w:szCs w:val="20"/>
        </w:rPr>
        <w:t xml:space="preserve"> </w:t>
      </w:r>
      <w:r w:rsidR="00031BCE" w:rsidRPr="00250C5C">
        <w:rPr>
          <w:rFonts w:ascii="Times New Roman" w:hAnsi="Times New Roman" w:cs="Times New Roman"/>
          <w:b/>
          <w:i/>
          <w:sz w:val="20"/>
          <w:szCs w:val="20"/>
        </w:rPr>
        <w:t>do nothing</w:t>
      </w:r>
    </w:p>
    <w:p w:rsidR="00031BCE" w:rsidRDefault="00031BCE" w:rsidP="00031BCE">
      <w:pPr>
        <w:pStyle w:val="ListParagraph"/>
        <w:spacing w:after="0" w:line="240" w:lineRule="auto"/>
        <w:ind w:left="360"/>
        <w:rPr>
          <w:rFonts w:ascii="Times New Roman" w:hAnsi="Times New Roman" w:cs="Times New Roman"/>
          <w:b/>
          <w:i/>
          <w:sz w:val="20"/>
          <w:szCs w:val="20"/>
        </w:rPr>
      </w:pPr>
    </w:p>
    <w:p w:rsidR="008A0468" w:rsidRPr="00031BCE" w:rsidRDefault="008C2ECC" w:rsidP="00250C5C">
      <w:pPr>
        <w:pStyle w:val="ListParagraph"/>
        <w:spacing w:after="0" w:line="240" w:lineRule="auto"/>
        <w:ind w:left="3420"/>
        <w:jc w:val="both"/>
        <w:rPr>
          <w:rFonts w:ascii="Times New Roman" w:hAnsi="Times New Roman" w:cs="Times New Roman"/>
          <w:sz w:val="20"/>
          <w:szCs w:val="20"/>
        </w:rPr>
      </w:pPr>
      <w:r w:rsidRPr="00031BCE">
        <w:rPr>
          <w:rFonts w:ascii="Times New Roman" w:hAnsi="Times New Roman" w:cs="Times New Roman"/>
          <w:sz w:val="20"/>
          <w:szCs w:val="20"/>
        </w:rPr>
        <w:t xml:space="preserve">While </w:t>
      </w:r>
      <w:r w:rsidR="00031BCE">
        <w:rPr>
          <w:rFonts w:ascii="Times New Roman" w:hAnsi="Times New Roman" w:cs="Times New Roman"/>
          <w:sz w:val="20"/>
          <w:szCs w:val="20"/>
        </w:rPr>
        <w:t>t</w:t>
      </w:r>
      <w:r w:rsidRPr="00031BCE">
        <w:rPr>
          <w:rFonts w:ascii="Times New Roman" w:hAnsi="Times New Roman" w:cs="Times New Roman"/>
          <w:sz w:val="20"/>
          <w:szCs w:val="20"/>
        </w:rPr>
        <w:t xml:space="preserve">enure provides some significant protection in the form of due process, it does not mean </w:t>
      </w:r>
      <w:r w:rsidR="009D5E9E" w:rsidRPr="00031BCE">
        <w:rPr>
          <w:rFonts w:ascii="Times New Roman" w:hAnsi="Times New Roman" w:cs="Times New Roman"/>
          <w:sz w:val="20"/>
          <w:szCs w:val="20"/>
        </w:rPr>
        <w:t>faculty can do anything they want.</w:t>
      </w:r>
      <w:r w:rsidR="0023723A">
        <w:rPr>
          <w:rFonts w:ascii="Times New Roman" w:hAnsi="Times New Roman" w:cs="Times New Roman"/>
          <w:sz w:val="20"/>
          <w:szCs w:val="20"/>
        </w:rPr>
        <w:t xml:space="preserve"> </w:t>
      </w:r>
      <w:r w:rsidR="009D5E9E" w:rsidRPr="00031BCE">
        <w:rPr>
          <w:rFonts w:ascii="Times New Roman" w:hAnsi="Times New Roman" w:cs="Times New Roman"/>
          <w:sz w:val="20"/>
          <w:szCs w:val="20"/>
        </w:rPr>
        <w:t>They still must teach courses assigned to them and do the work of the institution.</w:t>
      </w:r>
      <w:r w:rsidR="0023723A">
        <w:rPr>
          <w:rFonts w:ascii="Times New Roman" w:hAnsi="Times New Roman" w:cs="Times New Roman"/>
          <w:sz w:val="20"/>
          <w:szCs w:val="20"/>
        </w:rPr>
        <w:t xml:space="preserve"> </w:t>
      </w:r>
      <w:r w:rsidR="009D5E9E" w:rsidRPr="00031BCE">
        <w:rPr>
          <w:rFonts w:ascii="Times New Roman" w:hAnsi="Times New Roman" w:cs="Times New Roman"/>
          <w:sz w:val="20"/>
          <w:szCs w:val="20"/>
        </w:rPr>
        <w:t xml:space="preserve">Annual faculty evaluations ensure </w:t>
      </w:r>
      <w:r w:rsidR="00031BCE">
        <w:rPr>
          <w:rFonts w:ascii="Times New Roman" w:hAnsi="Times New Roman" w:cs="Times New Roman"/>
          <w:sz w:val="20"/>
          <w:szCs w:val="20"/>
        </w:rPr>
        <w:t xml:space="preserve">that </w:t>
      </w:r>
      <w:r w:rsidR="009D5E9E" w:rsidRPr="00031BCE">
        <w:rPr>
          <w:rFonts w:ascii="Times New Roman" w:hAnsi="Times New Roman" w:cs="Times New Roman"/>
          <w:sz w:val="20"/>
          <w:szCs w:val="20"/>
        </w:rPr>
        <w:t>this</w:t>
      </w:r>
      <w:r w:rsidR="00031BCE">
        <w:rPr>
          <w:rFonts w:ascii="Times New Roman" w:hAnsi="Times New Roman" w:cs="Times New Roman"/>
          <w:sz w:val="20"/>
          <w:szCs w:val="20"/>
        </w:rPr>
        <w:t xml:space="preserve"> happens</w:t>
      </w:r>
      <w:r w:rsidR="009D5E9E" w:rsidRPr="00031BCE">
        <w:rPr>
          <w:rFonts w:ascii="Times New Roman" w:hAnsi="Times New Roman" w:cs="Times New Roman"/>
          <w:sz w:val="20"/>
          <w:szCs w:val="20"/>
        </w:rPr>
        <w:t>.</w:t>
      </w:r>
      <w:r w:rsidR="009F62A5" w:rsidRPr="00031BCE">
        <w:rPr>
          <w:rFonts w:ascii="Times New Roman" w:hAnsi="Times New Roman" w:cs="Times New Roman"/>
          <w:sz w:val="20"/>
          <w:szCs w:val="20"/>
        </w:rPr>
        <w:t xml:space="preserve"> And of course violation of certain regulations and laws can lead to termination</w:t>
      </w:r>
      <w:r w:rsidR="00435CC3" w:rsidRPr="00031BCE">
        <w:rPr>
          <w:rFonts w:ascii="Times New Roman" w:hAnsi="Times New Roman" w:cs="Times New Roman"/>
          <w:sz w:val="20"/>
          <w:szCs w:val="20"/>
        </w:rPr>
        <w:t xml:space="preserve"> and other disciplinary action</w:t>
      </w:r>
      <w:r w:rsidR="009F62A5" w:rsidRPr="00031BCE">
        <w:rPr>
          <w:rFonts w:ascii="Times New Roman" w:hAnsi="Times New Roman" w:cs="Times New Roman"/>
          <w:sz w:val="20"/>
          <w:szCs w:val="20"/>
        </w:rPr>
        <w:t>.</w:t>
      </w:r>
      <w:r w:rsidR="0023723A">
        <w:rPr>
          <w:rFonts w:ascii="Times New Roman" w:hAnsi="Times New Roman" w:cs="Times New Roman"/>
          <w:sz w:val="20"/>
          <w:szCs w:val="20"/>
        </w:rPr>
        <w:t xml:space="preserve"> </w:t>
      </w:r>
      <w:r w:rsidR="0010080C" w:rsidRPr="00031BCE">
        <w:rPr>
          <w:rFonts w:ascii="Times New Roman" w:hAnsi="Times New Roman" w:cs="Times New Roman"/>
          <w:sz w:val="20"/>
          <w:szCs w:val="20"/>
        </w:rPr>
        <w:t xml:space="preserve">Furthermore, once tenured, faculty cannot simply retreat </w:t>
      </w:r>
      <w:r w:rsidR="00031BCE" w:rsidRPr="00031BCE">
        <w:rPr>
          <w:rFonts w:ascii="Times New Roman" w:hAnsi="Times New Roman" w:cs="Times New Roman"/>
          <w:sz w:val="20"/>
          <w:szCs w:val="20"/>
        </w:rPr>
        <w:t>from their</w:t>
      </w:r>
      <w:r w:rsidR="0010080C" w:rsidRPr="00031BCE">
        <w:rPr>
          <w:rFonts w:ascii="Times New Roman" w:hAnsi="Times New Roman" w:cs="Times New Roman"/>
          <w:sz w:val="20"/>
          <w:szCs w:val="20"/>
        </w:rPr>
        <w:t xml:space="preserve"> duties (teaching, service, or research).</w:t>
      </w:r>
      <w:r w:rsidR="0023723A">
        <w:rPr>
          <w:rFonts w:ascii="Times New Roman" w:hAnsi="Times New Roman" w:cs="Times New Roman"/>
          <w:sz w:val="20"/>
          <w:szCs w:val="20"/>
        </w:rPr>
        <w:t xml:space="preserve"> </w:t>
      </w:r>
      <w:r w:rsidR="0010080C" w:rsidRPr="00031BCE">
        <w:rPr>
          <w:rFonts w:ascii="Times New Roman" w:hAnsi="Times New Roman" w:cs="Times New Roman"/>
          <w:sz w:val="20"/>
          <w:szCs w:val="20"/>
        </w:rPr>
        <w:t>They are still required to teach well and effectively, to remain active in their scholarship, and to serve in leadership roles at the institution.</w:t>
      </w:r>
      <w:r w:rsidR="0023723A">
        <w:rPr>
          <w:rFonts w:ascii="Times New Roman" w:hAnsi="Times New Roman" w:cs="Times New Roman"/>
          <w:sz w:val="20"/>
          <w:szCs w:val="20"/>
        </w:rPr>
        <w:t xml:space="preserve"> </w:t>
      </w:r>
      <w:r w:rsidR="00542DD9">
        <w:rPr>
          <w:rFonts w:ascii="Times New Roman" w:hAnsi="Times New Roman" w:cs="Times New Roman"/>
          <w:sz w:val="20"/>
          <w:szCs w:val="20"/>
        </w:rPr>
        <w:t>Post-</w:t>
      </w:r>
      <w:r w:rsidR="0010080C" w:rsidRPr="00031BCE">
        <w:rPr>
          <w:rFonts w:ascii="Times New Roman" w:hAnsi="Times New Roman" w:cs="Times New Roman"/>
          <w:sz w:val="20"/>
          <w:szCs w:val="20"/>
        </w:rPr>
        <w:t>Tenure Review ensures that.</w:t>
      </w:r>
      <w:r w:rsidR="0023723A">
        <w:rPr>
          <w:rFonts w:ascii="Times New Roman" w:hAnsi="Times New Roman" w:cs="Times New Roman"/>
          <w:sz w:val="20"/>
          <w:szCs w:val="20"/>
        </w:rPr>
        <w:t xml:space="preserve"> </w:t>
      </w:r>
    </w:p>
    <w:p w:rsidR="00031BCE" w:rsidRDefault="00031BCE" w:rsidP="00C32CA0">
      <w:pPr>
        <w:spacing w:after="0" w:line="240" w:lineRule="auto"/>
        <w:rPr>
          <w:rFonts w:ascii="Times New Roman" w:hAnsi="Times New Roman" w:cs="Times New Roman"/>
          <w:b/>
          <w:sz w:val="20"/>
          <w:szCs w:val="20"/>
        </w:rPr>
      </w:pPr>
    </w:p>
    <w:p w:rsidR="009F62A5" w:rsidRPr="005A50B3" w:rsidRDefault="00C32CA0" w:rsidP="00C32CA0">
      <w:pPr>
        <w:spacing w:after="0" w:line="240" w:lineRule="auto"/>
        <w:rPr>
          <w:rFonts w:ascii="Times New Roman" w:hAnsi="Times New Roman" w:cs="Times New Roman"/>
          <w:b/>
          <w:sz w:val="20"/>
          <w:szCs w:val="20"/>
        </w:rPr>
      </w:pPr>
      <w:proofErr w:type="gramStart"/>
      <w:r w:rsidRPr="005A50B3">
        <w:rPr>
          <w:rFonts w:ascii="Times New Roman" w:hAnsi="Times New Roman" w:cs="Times New Roman"/>
          <w:b/>
          <w:sz w:val="20"/>
          <w:szCs w:val="20"/>
        </w:rPr>
        <w:t>Don’t</w:t>
      </w:r>
      <w:proofErr w:type="gramEnd"/>
      <w:r w:rsidRPr="005A50B3">
        <w:rPr>
          <w:rFonts w:ascii="Times New Roman" w:hAnsi="Times New Roman" w:cs="Times New Roman"/>
          <w:b/>
          <w:sz w:val="20"/>
          <w:szCs w:val="20"/>
        </w:rPr>
        <w:t xml:space="preserve"> </w:t>
      </w:r>
      <w:r w:rsidR="003931C9" w:rsidRPr="005A50B3">
        <w:rPr>
          <w:rFonts w:ascii="Times New Roman" w:hAnsi="Times New Roman" w:cs="Times New Roman"/>
          <w:b/>
          <w:sz w:val="20"/>
          <w:szCs w:val="20"/>
        </w:rPr>
        <w:t>T</w:t>
      </w:r>
      <w:r w:rsidRPr="005A50B3">
        <w:rPr>
          <w:rFonts w:ascii="Times New Roman" w:hAnsi="Times New Roman" w:cs="Times New Roman"/>
          <w:b/>
          <w:sz w:val="20"/>
          <w:szCs w:val="20"/>
        </w:rPr>
        <w:t xml:space="preserve">enured </w:t>
      </w:r>
      <w:r w:rsidR="003931C9" w:rsidRPr="005A50B3">
        <w:rPr>
          <w:rFonts w:ascii="Times New Roman" w:hAnsi="Times New Roman" w:cs="Times New Roman"/>
          <w:b/>
          <w:sz w:val="20"/>
          <w:szCs w:val="20"/>
        </w:rPr>
        <w:t>Faculty Do Less Because They Have Tenure?</w:t>
      </w:r>
    </w:p>
    <w:p w:rsidR="00C32CA0" w:rsidRPr="005A50B3" w:rsidRDefault="00C32CA0" w:rsidP="00C32CA0">
      <w:pPr>
        <w:spacing w:after="0" w:line="240" w:lineRule="auto"/>
        <w:rPr>
          <w:rFonts w:ascii="Times New Roman" w:hAnsi="Times New Roman" w:cs="Times New Roman"/>
          <w:sz w:val="20"/>
          <w:szCs w:val="20"/>
        </w:rPr>
      </w:pPr>
    </w:p>
    <w:p w:rsidR="00031BCE" w:rsidRPr="00031BCE" w:rsidRDefault="003931C9" w:rsidP="00DF7D10">
      <w:pPr>
        <w:pStyle w:val="ListParagraph"/>
        <w:numPr>
          <w:ilvl w:val="0"/>
          <w:numId w:val="1"/>
        </w:numPr>
        <w:spacing w:after="0" w:line="240" w:lineRule="auto"/>
        <w:ind w:left="360"/>
        <w:rPr>
          <w:rFonts w:ascii="Times New Roman" w:hAnsi="Times New Roman" w:cs="Times New Roman"/>
          <w:sz w:val="20"/>
          <w:szCs w:val="20"/>
        </w:rPr>
      </w:pPr>
      <w:r w:rsidRPr="005A50B3">
        <w:rPr>
          <w:rFonts w:ascii="Times New Roman" w:hAnsi="Times New Roman" w:cs="Times New Roman"/>
          <w:b/>
          <w:i/>
          <w:sz w:val="20"/>
          <w:szCs w:val="20"/>
        </w:rPr>
        <w:t>They actually</w:t>
      </w:r>
      <w:r w:rsidR="00C32CA0" w:rsidRPr="005A50B3">
        <w:rPr>
          <w:rFonts w:ascii="Times New Roman" w:hAnsi="Times New Roman" w:cs="Times New Roman"/>
          <w:b/>
          <w:i/>
          <w:sz w:val="20"/>
          <w:szCs w:val="20"/>
        </w:rPr>
        <w:t xml:space="preserve"> do more</w:t>
      </w:r>
      <w:r w:rsidR="00031BCE">
        <w:rPr>
          <w:rFonts w:ascii="Times New Roman" w:hAnsi="Times New Roman" w:cs="Times New Roman"/>
          <w:b/>
          <w:i/>
          <w:sz w:val="20"/>
          <w:szCs w:val="20"/>
        </w:rPr>
        <w:t>.</w:t>
      </w:r>
    </w:p>
    <w:p w:rsidR="00031BCE" w:rsidRDefault="00031BCE" w:rsidP="00031BCE">
      <w:pPr>
        <w:pStyle w:val="ListParagraph"/>
        <w:spacing w:after="0" w:line="240" w:lineRule="auto"/>
        <w:ind w:left="360"/>
        <w:rPr>
          <w:rFonts w:ascii="Times New Roman" w:hAnsi="Times New Roman" w:cs="Times New Roman"/>
          <w:b/>
          <w:i/>
          <w:sz w:val="20"/>
          <w:szCs w:val="20"/>
        </w:rPr>
      </w:pPr>
    </w:p>
    <w:p w:rsidR="00C32CA0" w:rsidRPr="005A50B3" w:rsidRDefault="00690389" w:rsidP="00031BCE">
      <w:pPr>
        <w:pStyle w:val="ListParagraph"/>
        <w:spacing w:after="0" w:line="240" w:lineRule="auto"/>
        <w:ind w:left="360"/>
        <w:jc w:val="both"/>
        <w:rPr>
          <w:rFonts w:ascii="Times New Roman" w:hAnsi="Times New Roman" w:cs="Times New Roman"/>
          <w:sz w:val="20"/>
          <w:szCs w:val="20"/>
        </w:rPr>
      </w:pPr>
      <w:r w:rsidRPr="005A50B3">
        <w:rPr>
          <w:rFonts w:ascii="Times New Roman" w:hAnsi="Times New Roman" w:cs="Times New Roman"/>
          <w:sz w:val="20"/>
          <w:szCs w:val="20"/>
        </w:rPr>
        <w:t>With respect to the work of the university</w:t>
      </w:r>
      <w:r w:rsidR="00DF7D10" w:rsidRPr="005A50B3">
        <w:rPr>
          <w:rFonts w:ascii="Times New Roman" w:hAnsi="Times New Roman" w:cs="Times New Roman"/>
          <w:sz w:val="20"/>
          <w:szCs w:val="20"/>
        </w:rPr>
        <w:t xml:space="preserve"> (service)</w:t>
      </w:r>
      <w:r w:rsidRPr="005A50B3">
        <w:rPr>
          <w:rFonts w:ascii="Times New Roman" w:hAnsi="Times New Roman" w:cs="Times New Roman"/>
          <w:sz w:val="20"/>
          <w:szCs w:val="20"/>
        </w:rPr>
        <w:t>, many jobs can only be done by tenured faculty</w:t>
      </w:r>
      <w:r w:rsidR="00DF7D10" w:rsidRPr="005A50B3">
        <w:rPr>
          <w:rFonts w:ascii="Times New Roman" w:hAnsi="Times New Roman" w:cs="Times New Roman"/>
          <w:sz w:val="20"/>
          <w:szCs w:val="20"/>
        </w:rPr>
        <w:t>, and they dominate leadership roles in the institution</w:t>
      </w:r>
      <w:r w:rsidRPr="005A50B3">
        <w:rPr>
          <w:rFonts w:ascii="Times New Roman" w:hAnsi="Times New Roman" w:cs="Times New Roman"/>
          <w:sz w:val="20"/>
          <w:szCs w:val="20"/>
        </w:rPr>
        <w:t>.</w:t>
      </w:r>
      <w:r w:rsidR="0023723A">
        <w:rPr>
          <w:rFonts w:ascii="Times New Roman" w:hAnsi="Times New Roman" w:cs="Times New Roman"/>
          <w:sz w:val="20"/>
          <w:szCs w:val="20"/>
        </w:rPr>
        <w:t xml:space="preserve"> </w:t>
      </w:r>
      <w:r w:rsidR="00DF7D10" w:rsidRPr="005A50B3">
        <w:rPr>
          <w:rFonts w:ascii="Times New Roman" w:hAnsi="Times New Roman" w:cs="Times New Roman"/>
          <w:sz w:val="20"/>
          <w:szCs w:val="20"/>
        </w:rPr>
        <w:t>W</w:t>
      </w:r>
      <w:r w:rsidRPr="005A50B3">
        <w:rPr>
          <w:rFonts w:ascii="Times New Roman" w:hAnsi="Times New Roman" w:cs="Times New Roman"/>
          <w:sz w:val="20"/>
          <w:szCs w:val="20"/>
        </w:rPr>
        <w:t>ith respect to teaching and research, several stu</w:t>
      </w:r>
      <w:r w:rsidR="00DF7D10" w:rsidRPr="005A50B3">
        <w:rPr>
          <w:rFonts w:ascii="Times New Roman" w:hAnsi="Times New Roman" w:cs="Times New Roman"/>
          <w:sz w:val="20"/>
          <w:szCs w:val="20"/>
        </w:rPr>
        <w:t>dies show tenured faculty efficacy in both areas does not diminish.</w:t>
      </w:r>
      <w:r w:rsidR="00DF7D10" w:rsidRPr="005A50B3">
        <w:rPr>
          <w:rStyle w:val="FootnoteReference"/>
          <w:rFonts w:ascii="Times New Roman" w:hAnsi="Times New Roman" w:cs="Times New Roman"/>
          <w:sz w:val="20"/>
          <w:szCs w:val="20"/>
        </w:rPr>
        <w:footnoteReference w:id="1"/>
      </w:r>
      <w:r w:rsidR="00DF7D10" w:rsidRPr="005A50B3">
        <w:rPr>
          <w:rFonts w:ascii="Times New Roman" w:hAnsi="Times New Roman" w:cs="Times New Roman"/>
          <w:sz w:val="20"/>
          <w:szCs w:val="20"/>
        </w:rPr>
        <w:t xml:space="preserve"> </w:t>
      </w:r>
      <w:proofErr w:type="gramStart"/>
      <w:r w:rsidR="00DF7D10" w:rsidRPr="005A50B3">
        <w:rPr>
          <w:rFonts w:ascii="Times New Roman" w:hAnsi="Times New Roman" w:cs="Times New Roman"/>
          <w:sz w:val="20"/>
          <w:szCs w:val="20"/>
        </w:rPr>
        <w:t>Often tenured faculty focus on higher quality and higher impact research once tenure is secured, and they are often in a better position to integrate undergraduate and graduate participation in research work, thus providing a better, more marketable pedagogical experience.</w:t>
      </w:r>
      <w:proofErr w:type="gramEnd"/>
      <w:r w:rsidR="003931C9" w:rsidRPr="005A50B3">
        <w:rPr>
          <w:rFonts w:ascii="Times New Roman" w:hAnsi="Times New Roman" w:cs="Times New Roman"/>
          <w:sz w:val="20"/>
          <w:szCs w:val="20"/>
        </w:rPr>
        <w:br/>
      </w:r>
    </w:p>
    <w:p w:rsidR="00031BCE" w:rsidRPr="00031BCE" w:rsidRDefault="00914E08" w:rsidP="003931C9">
      <w:pPr>
        <w:pStyle w:val="ListParagraph"/>
        <w:numPr>
          <w:ilvl w:val="0"/>
          <w:numId w:val="1"/>
        </w:numPr>
        <w:spacing w:after="0" w:line="240" w:lineRule="auto"/>
        <w:ind w:left="360"/>
        <w:rPr>
          <w:rFonts w:ascii="Times New Roman" w:hAnsi="Times New Roman" w:cs="Times New Roman"/>
          <w:sz w:val="20"/>
          <w:szCs w:val="20"/>
        </w:rPr>
      </w:pPr>
      <w:r w:rsidRPr="005A50B3">
        <w:rPr>
          <w:rFonts w:ascii="Times New Roman" w:hAnsi="Times New Roman" w:cs="Times New Roman"/>
          <w:b/>
          <w:i/>
          <w:sz w:val="20"/>
          <w:szCs w:val="20"/>
        </w:rPr>
        <w:t>Every b</w:t>
      </w:r>
      <w:r w:rsidR="0010080C" w:rsidRPr="005A50B3">
        <w:rPr>
          <w:rFonts w:ascii="Times New Roman" w:hAnsi="Times New Roman" w:cs="Times New Roman"/>
          <w:b/>
          <w:i/>
          <w:sz w:val="20"/>
          <w:szCs w:val="20"/>
        </w:rPr>
        <w:t xml:space="preserve">ushel </w:t>
      </w:r>
      <w:r w:rsidRPr="005A50B3">
        <w:rPr>
          <w:rFonts w:ascii="Times New Roman" w:hAnsi="Times New Roman" w:cs="Times New Roman"/>
          <w:b/>
          <w:i/>
          <w:sz w:val="20"/>
          <w:szCs w:val="20"/>
        </w:rPr>
        <w:t>c</w:t>
      </w:r>
      <w:r w:rsidR="0010080C" w:rsidRPr="005A50B3">
        <w:rPr>
          <w:rFonts w:ascii="Times New Roman" w:hAnsi="Times New Roman" w:cs="Times New Roman"/>
          <w:b/>
          <w:i/>
          <w:sz w:val="20"/>
          <w:szCs w:val="20"/>
        </w:rPr>
        <w:t xml:space="preserve">ontains </w:t>
      </w:r>
      <w:r w:rsidRPr="005A50B3">
        <w:rPr>
          <w:rFonts w:ascii="Times New Roman" w:hAnsi="Times New Roman" w:cs="Times New Roman"/>
          <w:b/>
          <w:i/>
          <w:sz w:val="20"/>
          <w:szCs w:val="20"/>
        </w:rPr>
        <w:t>a</w:t>
      </w:r>
      <w:r w:rsidR="0010080C" w:rsidRPr="005A50B3">
        <w:rPr>
          <w:rFonts w:ascii="Times New Roman" w:hAnsi="Times New Roman" w:cs="Times New Roman"/>
          <w:b/>
          <w:i/>
          <w:sz w:val="20"/>
          <w:szCs w:val="20"/>
        </w:rPr>
        <w:t xml:space="preserve"> </w:t>
      </w:r>
      <w:r w:rsidRPr="005A50B3">
        <w:rPr>
          <w:rFonts w:ascii="Times New Roman" w:hAnsi="Times New Roman" w:cs="Times New Roman"/>
          <w:b/>
          <w:i/>
          <w:sz w:val="20"/>
          <w:szCs w:val="20"/>
        </w:rPr>
        <w:t>f</w:t>
      </w:r>
      <w:r w:rsidR="0010080C" w:rsidRPr="005A50B3">
        <w:rPr>
          <w:rFonts w:ascii="Times New Roman" w:hAnsi="Times New Roman" w:cs="Times New Roman"/>
          <w:b/>
          <w:i/>
          <w:sz w:val="20"/>
          <w:szCs w:val="20"/>
        </w:rPr>
        <w:t xml:space="preserve">ew </w:t>
      </w:r>
      <w:r w:rsidRPr="005A50B3">
        <w:rPr>
          <w:rFonts w:ascii="Times New Roman" w:hAnsi="Times New Roman" w:cs="Times New Roman"/>
          <w:b/>
          <w:i/>
          <w:sz w:val="20"/>
          <w:szCs w:val="20"/>
        </w:rPr>
        <w:t>b</w:t>
      </w:r>
      <w:r w:rsidR="00C32CA0" w:rsidRPr="005A50B3">
        <w:rPr>
          <w:rFonts w:ascii="Times New Roman" w:hAnsi="Times New Roman" w:cs="Times New Roman"/>
          <w:b/>
          <w:i/>
          <w:sz w:val="20"/>
          <w:szCs w:val="20"/>
        </w:rPr>
        <w:t xml:space="preserve">ad </w:t>
      </w:r>
      <w:r w:rsidRPr="005A50B3">
        <w:rPr>
          <w:rFonts w:ascii="Times New Roman" w:hAnsi="Times New Roman" w:cs="Times New Roman"/>
          <w:b/>
          <w:i/>
          <w:sz w:val="20"/>
          <w:szCs w:val="20"/>
        </w:rPr>
        <w:t>a</w:t>
      </w:r>
      <w:r w:rsidR="00C32CA0" w:rsidRPr="005A50B3">
        <w:rPr>
          <w:rFonts w:ascii="Times New Roman" w:hAnsi="Times New Roman" w:cs="Times New Roman"/>
          <w:b/>
          <w:i/>
          <w:sz w:val="20"/>
          <w:szCs w:val="20"/>
        </w:rPr>
        <w:t>pples</w:t>
      </w:r>
      <w:r w:rsidR="00031BCE">
        <w:rPr>
          <w:rFonts w:ascii="Times New Roman" w:hAnsi="Times New Roman" w:cs="Times New Roman"/>
          <w:b/>
          <w:i/>
          <w:sz w:val="20"/>
          <w:szCs w:val="20"/>
        </w:rPr>
        <w:t>.</w:t>
      </w:r>
    </w:p>
    <w:p w:rsidR="00031BCE" w:rsidRDefault="00031BCE" w:rsidP="00031BCE">
      <w:pPr>
        <w:pStyle w:val="ListParagraph"/>
        <w:spacing w:after="0" w:line="240" w:lineRule="auto"/>
        <w:ind w:left="360"/>
        <w:rPr>
          <w:rFonts w:ascii="Times New Roman" w:hAnsi="Times New Roman" w:cs="Times New Roman"/>
          <w:b/>
          <w:i/>
          <w:sz w:val="20"/>
          <w:szCs w:val="20"/>
        </w:rPr>
      </w:pPr>
    </w:p>
    <w:p w:rsidR="00C32CA0" w:rsidRPr="005A50B3" w:rsidRDefault="00C32CA0" w:rsidP="00031BCE">
      <w:pPr>
        <w:pStyle w:val="ListParagraph"/>
        <w:spacing w:after="0" w:line="240" w:lineRule="auto"/>
        <w:ind w:left="360"/>
        <w:jc w:val="both"/>
        <w:rPr>
          <w:rFonts w:ascii="Times New Roman" w:hAnsi="Times New Roman" w:cs="Times New Roman"/>
          <w:sz w:val="20"/>
          <w:szCs w:val="20"/>
        </w:rPr>
      </w:pPr>
      <w:r w:rsidRPr="005A50B3">
        <w:rPr>
          <w:rFonts w:ascii="Times New Roman" w:hAnsi="Times New Roman" w:cs="Times New Roman"/>
          <w:sz w:val="20"/>
          <w:szCs w:val="20"/>
        </w:rPr>
        <w:t xml:space="preserve">Of course there are </w:t>
      </w:r>
      <w:r w:rsidR="0010080C" w:rsidRPr="005A50B3">
        <w:rPr>
          <w:rFonts w:ascii="Times New Roman" w:hAnsi="Times New Roman" w:cs="Times New Roman"/>
          <w:sz w:val="20"/>
          <w:szCs w:val="20"/>
        </w:rPr>
        <w:t>examples of tenured faculty withdrawing from their obligations: publishing less, spending less time and effort on their teaching, not participating in service, etc.</w:t>
      </w:r>
      <w:r w:rsidR="0023723A">
        <w:rPr>
          <w:rFonts w:ascii="Times New Roman" w:hAnsi="Times New Roman" w:cs="Times New Roman"/>
          <w:sz w:val="20"/>
          <w:szCs w:val="20"/>
        </w:rPr>
        <w:t xml:space="preserve"> </w:t>
      </w:r>
      <w:r w:rsidR="0010080C" w:rsidRPr="005A50B3">
        <w:rPr>
          <w:rFonts w:ascii="Times New Roman" w:hAnsi="Times New Roman" w:cs="Times New Roman"/>
          <w:sz w:val="20"/>
          <w:szCs w:val="20"/>
        </w:rPr>
        <w:t>But those cases represent a small minority, in part because the tenure process is so rigorous to begin with</w:t>
      </w:r>
      <w:r w:rsidR="00DF7D10" w:rsidRPr="005A50B3">
        <w:rPr>
          <w:rFonts w:ascii="Times New Roman" w:hAnsi="Times New Roman" w:cs="Times New Roman"/>
          <w:sz w:val="20"/>
          <w:szCs w:val="20"/>
        </w:rPr>
        <w:t>. Every field, discipline, industry, etc. contains some few who tarnish the reputation of the majority; we haven’t</w:t>
      </w:r>
      <w:r w:rsidR="00164009" w:rsidRPr="005A50B3">
        <w:rPr>
          <w:rFonts w:ascii="Times New Roman" w:hAnsi="Times New Roman" w:cs="Times New Roman"/>
          <w:sz w:val="20"/>
          <w:szCs w:val="20"/>
        </w:rPr>
        <w:t>, for example,</w:t>
      </w:r>
      <w:r w:rsidR="00DF7D10" w:rsidRPr="005A50B3">
        <w:rPr>
          <w:rFonts w:ascii="Times New Roman" w:hAnsi="Times New Roman" w:cs="Times New Roman"/>
          <w:sz w:val="20"/>
          <w:szCs w:val="20"/>
        </w:rPr>
        <w:t xml:space="preserve"> abolished democracy because of a few indiscreet legislators</w:t>
      </w:r>
      <w:r w:rsidR="00164009" w:rsidRPr="005A50B3">
        <w:rPr>
          <w:rFonts w:ascii="Times New Roman" w:hAnsi="Times New Roman" w:cs="Times New Roman"/>
          <w:sz w:val="20"/>
          <w:szCs w:val="20"/>
        </w:rPr>
        <w:t xml:space="preserve"> – neither should we condemn a cornerstone of academic inquiry and the dissemination of knowledge because of few bad apples.</w:t>
      </w:r>
    </w:p>
    <w:p w:rsidR="0010080C" w:rsidRPr="005A50B3" w:rsidRDefault="0010080C" w:rsidP="0010080C">
      <w:pPr>
        <w:spacing w:after="0" w:line="240" w:lineRule="auto"/>
        <w:rPr>
          <w:rFonts w:ascii="Times New Roman" w:hAnsi="Times New Roman" w:cs="Times New Roman"/>
          <w:sz w:val="20"/>
          <w:szCs w:val="20"/>
        </w:rPr>
      </w:pPr>
    </w:p>
    <w:p w:rsidR="00031BCE" w:rsidRDefault="001A74E9" w:rsidP="0010080C">
      <w:pPr>
        <w:pStyle w:val="ListParagraph"/>
        <w:numPr>
          <w:ilvl w:val="0"/>
          <w:numId w:val="1"/>
        </w:numPr>
        <w:spacing w:after="0" w:line="240" w:lineRule="auto"/>
        <w:ind w:left="360"/>
        <w:rPr>
          <w:rFonts w:ascii="Times New Roman" w:hAnsi="Times New Roman" w:cs="Times New Roman"/>
          <w:sz w:val="20"/>
          <w:szCs w:val="20"/>
        </w:rPr>
      </w:pPr>
      <w:r w:rsidRPr="005A50B3">
        <w:rPr>
          <w:rFonts w:ascii="Times New Roman" w:hAnsi="Times New Roman" w:cs="Times New Roman"/>
          <w:b/>
          <w:i/>
          <w:noProof/>
          <w:sz w:val="20"/>
          <w:szCs w:val="20"/>
        </w:rPr>
        <mc:AlternateContent>
          <mc:Choice Requires="wps">
            <w:drawing>
              <wp:anchor distT="0" distB="0" distL="114300" distR="114300" simplePos="0" relativeHeight="251661312" behindDoc="1" locked="0" layoutInCell="0" allowOverlap="1" wp14:anchorId="4FF1D413" wp14:editId="0B61BC70">
                <wp:simplePos x="0" y="0"/>
                <wp:positionH relativeFrom="page">
                  <wp:posOffset>5222875</wp:posOffset>
                </wp:positionH>
                <wp:positionV relativeFrom="page">
                  <wp:posOffset>3733165</wp:posOffset>
                </wp:positionV>
                <wp:extent cx="1795780" cy="2800350"/>
                <wp:effectExtent l="19050" t="19050" r="33020" b="38100"/>
                <wp:wrapTight wrapText="bothSides">
                  <wp:wrapPolygon edited="1">
                    <wp:start x="-1112" y="-612"/>
                    <wp:lineTo x="-1005" y="22266"/>
                    <wp:lineTo x="22313" y="22245"/>
                    <wp:lineTo x="22301" y="-583"/>
                    <wp:lineTo x="-1112" y="-6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800350"/>
                        </a:xfrm>
                        <a:prstGeom prst="rect">
                          <a:avLst/>
                        </a:prstGeom>
                        <a:noFill/>
                        <a:ln w="57150" cmpd="thickThin">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A74E9" w:rsidRPr="001A74E9" w:rsidRDefault="001A74E9" w:rsidP="001A74E9">
                            <w:pPr>
                              <w:pStyle w:val="FootnoteText"/>
                              <w:jc w:val="center"/>
                              <w:rPr>
                                <w:rFonts w:cs="Times New Roman"/>
                                <w:b/>
                                <w:sz w:val="18"/>
                                <w:szCs w:val="18"/>
                              </w:rPr>
                            </w:pPr>
                            <w:r w:rsidRPr="001A74E9">
                              <w:rPr>
                                <w:rFonts w:cs="Times New Roman"/>
                                <w:b/>
                                <w:sz w:val="18"/>
                                <w:szCs w:val="18"/>
                              </w:rPr>
                              <w:t>Post-Tenure Review</w:t>
                            </w:r>
                          </w:p>
                          <w:p w:rsidR="001A74E9" w:rsidRDefault="001A74E9" w:rsidP="00914E08">
                            <w:pPr>
                              <w:pStyle w:val="FootnoteText"/>
                              <w:jc w:val="both"/>
                              <w:rPr>
                                <w:rFonts w:cs="Times New Roman"/>
                                <w:sz w:val="18"/>
                                <w:szCs w:val="18"/>
                              </w:rPr>
                            </w:pPr>
                          </w:p>
                          <w:p w:rsidR="00914E08" w:rsidRPr="008A0468" w:rsidRDefault="00914E08" w:rsidP="00914E08">
                            <w:pPr>
                              <w:pStyle w:val="FootnoteText"/>
                              <w:jc w:val="both"/>
                              <w:rPr>
                                <w:rFonts w:cs="Times New Roman"/>
                                <w:sz w:val="18"/>
                                <w:szCs w:val="18"/>
                              </w:rPr>
                            </w:pPr>
                            <w:r w:rsidRPr="008A0468">
                              <w:rPr>
                                <w:rFonts w:cs="Times New Roman"/>
                                <w:sz w:val="18"/>
                                <w:szCs w:val="18"/>
                              </w:rPr>
                              <w:t>“At two medical schools, for example, most of the small number of faculty whose reviews were unsatisfactory chose to retire from teaching.</w:t>
                            </w:r>
                            <w:r w:rsidR="0023723A">
                              <w:rPr>
                                <w:rFonts w:cs="Times New Roman"/>
                                <w:sz w:val="18"/>
                                <w:szCs w:val="18"/>
                              </w:rPr>
                              <w:t xml:space="preserve"> </w:t>
                            </w:r>
                            <w:r w:rsidRPr="008A0468">
                              <w:rPr>
                                <w:rFonts w:cs="Times New Roman"/>
                                <w:sz w:val="18"/>
                                <w:szCs w:val="18"/>
                              </w:rPr>
                              <w:t xml:space="preserve">In a few cases, individuals whose performance was judged to be unsatisfactory were provided performance improvement plans, complied with them, and brought their performance up to a satisfactory level.” </w:t>
                            </w:r>
                          </w:p>
                          <w:p w:rsidR="00914E08" w:rsidRDefault="00914E08" w:rsidP="00914E08">
                            <w:pPr>
                              <w:pStyle w:val="FootnoteText"/>
                              <w:jc w:val="both"/>
                              <w:rPr>
                                <w:rFonts w:ascii="Times New Roman" w:hAnsi="Times New Roman" w:cs="Times New Roman"/>
                              </w:rPr>
                            </w:pPr>
                          </w:p>
                          <w:p w:rsidR="00914E08" w:rsidRPr="00FA771C" w:rsidRDefault="00914E08" w:rsidP="005A50B3">
                            <w:pPr>
                              <w:pStyle w:val="FootnoteText"/>
                              <w:jc w:val="center"/>
                              <w:rPr>
                                <w:rFonts w:asciiTheme="majorHAnsi" w:eastAsiaTheme="majorEastAsia" w:hAnsiTheme="majorHAnsi" w:cstheme="majorBidi"/>
                                <w:i/>
                                <w:iCs/>
                                <w:sz w:val="12"/>
                                <w:szCs w:val="12"/>
                              </w:rPr>
                            </w:pPr>
                            <w:r w:rsidRPr="00FA771C">
                              <w:rPr>
                                <w:rFonts w:cs="Times New Roman"/>
                                <w:sz w:val="12"/>
                                <w:szCs w:val="12"/>
                              </w:rPr>
                              <w:t xml:space="preserve">Donna R. </w:t>
                            </w:r>
                            <w:proofErr w:type="spellStart"/>
                            <w:r w:rsidRPr="00FA771C">
                              <w:rPr>
                                <w:rFonts w:cs="Times New Roman"/>
                                <w:sz w:val="12"/>
                                <w:szCs w:val="12"/>
                              </w:rPr>
                              <w:t>Euben</w:t>
                            </w:r>
                            <w:proofErr w:type="spellEnd"/>
                            <w:r w:rsidRPr="00FA771C">
                              <w:rPr>
                                <w:rFonts w:cs="Times New Roman"/>
                                <w:sz w:val="12"/>
                                <w:szCs w:val="12"/>
                              </w:rPr>
                              <w:t xml:space="preserve"> &amp; Barbara A. Lee, “Managing Faculty Productivity After Tenure,” </w:t>
                            </w:r>
                            <w:r w:rsidRPr="00FA771C">
                              <w:rPr>
                                <w:rFonts w:cs="Times New Roman"/>
                                <w:i/>
                                <w:sz w:val="12"/>
                                <w:szCs w:val="12"/>
                              </w:rPr>
                              <w:t>Legal Issues in Higher Education (</w:t>
                            </w:r>
                            <w:r w:rsidRPr="00FA771C">
                              <w:rPr>
                                <w:rFonts w:cs="Times New Roman"/>
                                <w:sz w:val="12"/>
                                <w:szCs w:val="12"/>
                              </w:rPr>
                              <w:t>October 24, 2005).</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11.25pt;margin-top:293.95pt;width:141.4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wrapcoords="-1112 -612 -1005 22266 22313 22245 22301 -583 -1112 -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" o:allowincell="f" filled="f" strokecolor="#0f243e [1615]" strokeweight="4.5pt">
                <v:stroke linestyle="thickThin"/>
                <v:textbox inset="10.8pt,7.2pt,10.8pt,7.2pt">
                  <w:txbxContent>
                    <w:p w:rsidR="001A74E9" w:rsidRPr="001A74E9" w:rsidRDefault="001A74E9" w:rsidP="001A74E9">
                      <w:pPr>
                        <w:pStyle w:val="FootnoteText"/>
                        <w:jc w:val="center"/>
                        <w:rPr>
                          <w:rFonts w:cs="Times New Roman"/>
                          <w:b/>
                          <w:sz w:val="18"/>
                          <w:szCs w:val="18"/>
                        </w:rPr>
                      </w:pPr>
                      <w:r w:rsidRPr="001A74E9">
                        <w:rPr>
                          <w:rFonts w:cs="Times New Roman"/>
                          <w:b/>
                          <w:sz w:val="18"/>
                          <w:szCs w:val="18"/>
                        </w:rPr>
                        <w:t>Post-Tenure Review</w:t>
                      </w:r>
                    </w:p>
                    <w:p w:rsidR="001A74E9" w:rsidRDefault="001A74E9" w:rsidP="00914E08">
                      <w:pPr>
                        <w:pStyle w:val="FootnoteText"/>
                        <w:jc w:val="both"/>
                        <w:rPr>
                          <w:rFonts w:cs="Times New Roman"/>
                          <w:sz w:val="18"/>
                          <w:szCs w:val="18"/>
                        </w:rPr>
                      </w:pPr>
                    </w:p>
                    <w:p w:rsidR="00914E08" w:rsidRPr="008A0468" w:rsidRDefault="00914E08" w:rsidP="00914E08">
                      <w:pPr>
                        <w:pStyle w:val="FootnoteText"/>
                        <w:jc w:val="both"/>
                        <w:rPr>
                          <w:rFonts w:cs="Times New Roman"/>
                          <w:sz w:val="18"/>
                          <w:szCs w:val="18"/>
                        </w:rPr>
                      </w:pPr>
                      <w:r w:rsidRPr="008A0468">
                        <w:rPr>
                          <w:rFonts w:cs="Times New Roman"/>
                          <w:sz w:val="18"/>
                          <w:szCs w:val="18"/>
                        </w:rPr>
                        <w:t>“At two medical schools, for example, most of the small number of faculty whose reviews were unsatisfactory chose to retire from teaching.</w:t>
                      </w:r>
                      <w:r w:rsidR="0023723A">
                        <w:rPr>
                          <w:rFonts w:cs="Times New Roman"/>
                          <w:sz w:val="18"/>
                          <w:szCs w:val="18"/>
                        </w:rPr>
                        <w:t xml:space="preserve"> </w:t>
                      </w:r>
                      <w:r w:rsidRPr="008A0468">
                        <w:rPr>
                          <w:rFonts w:cs="Times New Roman"/>
                          <w:sz w:val="18"/>
                          <w:szCs w:val="18"/>
                        </w:rPr>
                        <w:t xml:space="preserve">In a few cases, individuals whose performance was judged to be unsatisfactory were provided performance improvement plans, complied with them, and brought their performance up to a satisfactory level.” </w:t>
                      </w:r>
                    </w:p>
                    <w:p w:rsidR="00914E08" w:rsidRDefault="00914E08" w:rsidP="00914E08">
                      <w:pPr>
                        <w:pStyle w:val="FootnoteText"/>
                        <w:jc w:val="both"/>
                        <w:rPr>
                          <w:rFonts w:ascii="Times New Roman" w:hAnsi="Times New Roman" w:cs="Times New Roman"/>
                        </w:rPr>
                      </w:pPr>
                    </w:p>
                    <w:p w:rsidR="00914E08" w:rsidRPr="00FA771C" w:rsidRDefault="00914E08" w:rsidP="005A50B3">
                      <w:pPr>
                        <w:pStyle w:val="FootnoteText"/>
                        <w:jc w:val="center"/>
                        <w:rPr>
                          <w:rFonts w:asciiTheme="majorHAnsi" w:eastAsiaTheme="majorEastAsia" w:hAnsiTheme="majorHAnsi" w:cstheme="majorBidi"/>
                          <w:i/>
                          <w:iCs/>
                          <w:sz w:val="12"/>
                          <w:szCs w:val="12"/>
                        </w:rPr>
                      </w:pPr>
                      <w:r w:rsidRPr="00FA771C">
                        <w:rPr>
                          <w:rFonts w:cs="Times New Roman"/>
                          <w:sz w:val="12"/>
                          <w:szCs w:val="12"/>
                        </w:rPr>
                        <w:t xml:space="preserve">Donna R. </w:t>
                      </w:r>
                      <w:proofErr w:type="spellStart"/>
                      <w:r w:rsidRPr="00FA771C">
                        <w:rPr>
                          <w:rFonts w:cs="Times New Roman"/>
                          <w:sz w:val="12"/>
                          <w:szCs w:val="12"/>
                        </w:rPr>
                        <w:t>Euben</w:t>
                      </w:r>
                      <w:proofErr w:type="spellEnd"/>
                      <w:r w:rsidRPr="00FA771C">
                        <w:rPr>
                          <w:rFonts w:cs="Times New Roman"/>
                          <w:sz w:val="12"/>
                          <w:szCs w:val="12"/>
                        </w:rPr>
                        <w:t xml:space="preserve"> &amp; Barbara A. Lee, “Managing Faculty Productivity After Tenure,” </w:t>
                      </w:r>
                      <w:r w:rsidRPr="00FA771C">
                        <w:rPr>
                          <w:rFonts w:cs="Times New Roman"/>
                          <w:i/>
                          <w:sz w:val="12"/>
                          <w:szCs w:val="12"/>
                        </w:rPr>
                        <w:t>Legal Issues in Higher Education (</w:t>
                      </w:r>
                      <w:r w:rsidRPr="00FA771C">
                        <w:rPr>
                          <w:rFonts w:cs="Times New Roman"/>
                          <w:sz w:val="12"/>
                          <w:szCs w:val="12"/>
                        </w:rPr>
                        <w:t>October 24, 2005).</w:t>
                      </w:r>
                    </w:p>
                  </w:txbxContent>
                </v:textbox>
                <w10:wrap type="tight" anchorx="page" anchory="page"/>
              </v:shape>
            </w:pict>
          </mc:Fallback>
        </mc:AlternateContent>
      </w:r>
      <w:r w:rsidR="0010080C" w:rsidRPr="005A50B3">
        <w:rPr>
          <w:rFonts w:ascii="Times New Roman" w:hAnsi="Times New Roman" w:cs="Times New Roman"/>
          <w:b/>
          <w:i/>
          <w:sz w:val="20"/>
          <w:szCs w:val="20"/>
        </w:rPr>
        <w:t xml:space="preserve">And </w:t>
      </w:r>
      <w:r w:rsidR="00914E08" w:rsidRPr="005A50B3">
        <w:rPr>
          <w:rFonts w:ascii="Times New Roman" w:hAnsi="Times New Roman" w:cs="Times New Roman"/>
          <w:b/>
          <w:i/>
          <w:sz w:val="20"/>
          <w:szCs w:val="20"/>
        </w:rPr>
        <w:t>p</w:t>
      </w:r>
      <w:r w:rsidR="00542DD9">
        <w:rPr>
          <w:rFonts w:ascii="Times New Roman" w:hAnsi="Times New Roman" w:cs="Times New Roman"/>
          <w:b/>
          <w:i/>
          <w:sz w:val="20"/>
          <w:szCs w:val="20"/>
        </w:rPr>
        <w:t>ost-</w:t>
      </w:r>
      <w:r w:rsidR="00914E08" w:rsidRPr="005A50B3">
        <w:rPr>
          <w:rFonts w:ascii="Times New Roman" w:hAnsi="Times New Roman" w:cs="Times New Roman"/>
          <w:b/>
          <w:i/>
          <w:sz w:val="20"/>
          <w:szCs w:val="20"/>
        </w:rPr>
        <w:t>t</w:t>
      </w:r>
      <w:r w:rsidR="0010080C" w:rsidRPr="005A50B3">
        <w:rPr>
          <w:rFonts w:ascii="Times New Roman" w:hAnsi="Times New Roman" w:cs="Times New Roman"/>
          <w:b/>
          <w:i/>
          <w:sz w:val="20"/>
          <w:szCs w:val="20"/>
        </w:rPr>
        <w:t xml:space="preserve">enure </w:t>
      </w:r>
      <w:r w:rsidR="00914E08" w:rsidRPr="005A50B3">
        <w:rPr>
          <w:rFonts w:ascii="Times New Roman" w:hAnsi="Times New Roman" w:cs="Times New Roman"/>
          <w:b/>
          <w:i/>
          <w:sz w:val="20"/>
          <w:szCs w:val="20"/>
        </w:rPr>
        <w:t>r</w:t>
      </w:r>
      <w:r w:rsidR="0010080C" w:rsidRPr="005A50B3">
        <w:rPr>
          <w:rFonts w:ascii="Times New Roman" w:hAnsi="Times New Roman" w:cs="Times New Roman"/>
          <w:b/>
          <w:i/>
          <w:sz w:val="20"/>
          <w:szCs w:val="20"/>
        </w:rPr>
        <w:t xml:space="preserve">eview </w:t>
      </w:r>
      <w:r w:rsidR="00914E08" w:rsidRPr="005A50B3">
        <w:rPr>
          <w:rFonts w:ascii="Times New Roman" w:hAnsi="Times New Roman" w:cs="Times New Roman"/>
          <w:b/>
          <w:i/>
          <w:sz w:val="20"/>
          <w:szCs w:val="20"/>
        </w:rPr>
        <w:t>w</w:t>
      </w:r>
      <w:r w:rsidR="0010080C" w:rsidRPr="005A50B3">
        <w:rPr>
          <w:rFonts w:ascii="Times New Roman" w:hAnsi="Times New Roman" w:cs="Times New Roman"/>
          <w:b/>
          <w:i/>
          <w:sz w:val="20"/>
          <w:szCs w:val="20"/>
        </w:rPr>
        <w:t>orks</w:t>
      </w:r>
      <w:r w:rsidR="00542DD9">
        <w:rPr>
          <w:rFonts w:ascii="Times New Roman" w:hAnsi="Times New Roman" w:cs="Times New Roman"/>
          <w:b/>
          <w:i/>
          <w:sz w:val="20"/>
          <w:szCs w:val="20"/>
        </w:rPr>
        <w:t>.</w:t>
      </w:r>
    </w:p>
    <w:p w:rsidR="00031BCE" w:rsidRDefault="00031BCE" w:rsidP="00031BCE">
      <w:pPr>
        <w:pStyle w:val="ListParagraph"/>
        <w:spacing w:after="0" w:line="240" w:lineRule="auto"/>
        <w:ind w:left="360"/>
        <w:rPr>
          <w:rFonts w:ascii="Times New Roman" w:hAnsi="Times New Roman" w:cs="Times New Roman"/>
          <w:sz w:val="20"/>
          <w:szCs w:val="20"/>
        </w:rPr>
      </w:pPr>
    </w:p>
    <w:p w:rsidR="0010080C" w:rsidRPr="005A50B3" w:rsidRDefault="005750F4" w:rsidP="00031BCE">
      <w:pPr>
        <w:pStyle w:val="ListParagraph"/>
        <w:spacing w:after="0" w:line="240" w:lineRule="auto"/>
        <w:ind w:left="360"/>
        <w:jc w:val="both"/>
        <w:rPr>
          <w:rFonts w:ascii="Times New Roman" w:hAnsi="Times New Roman" w:cs="Times New Roman"/>
          <w:sz w:val="20"/>
          <w:szCs w:val="20"/>
        </w:rPr>
      </w:pPr>
      <w:r w:rsidRPr="005A50B3">
        <w:rPr>
          <w:rFonts w:ascii="Times New Roman" w:hAnsi="Times New Roman" w:cs="Times New Roman"/>
          <w:sz w:val="20"/>
          <w:szCs w:val="20"/>
        </w:rPr>
        <w:t xml:space="preserve">Given the rigor and length of the tenure process, it is not surprising that the majority of tenured </w:t>
      </w:r>
      <w:proofErr w:type="gramStart"/>
      <w:r w:rsidRPr="005A50B3">
        <w:rPr>
          <w:rFonts w:ascii="Times New Roman" w:hAnsi="Times New Roman" w:cs="Times New Roman"/>
          <w:sz w:val="20"/>
          <w:szCs w:val="20"/>
        </w:rPr>
        <w:t>faculty are</w:t>
      </w:r>
      <w:proofErr w:type="gramEnd"/>
      <w:r w:rsidRPr="005A50B3">
        <w:rPr>
          <w:rFonts w:ascii="Times New Roman" w:hAnsi="Times New Roman" w:cs="Times New Roman"/>
          <w:sz w:val="20"/>
          <w:szCs w:val="20"/>
        </w:rPr>
        <w:t xml:space="preserve"> appropriately productive and successful in the classroom and in their fie</w:t>
      </w:r>
      <w:r w:rsidR="00542DD9">
        <w:rPr>
          <w:rFonts w:ascii="Times New Roman" w:hAnsi="Times New Roman" w:cs="Times New Roman"/>
          <w:sz w:val="20"/>
          <w:szCs w:val="20"/>
        </w:rPr>
        <w:t>ld. But when they are not, post-</w:t>
      </w:r>
      <w:r w:rsidRPr="005A50B3">
        <w:rPr>
          <w:rFonts w:ascii="Times New Roman" w:hAnsi="Times New Roman" w:cs="Times New Roman"/>
          <w:sz w:val="20"/>
          <w:szCs w:val="20"/>
        </w:rPr>
        <w:t>tenure review has proven an effective check.</w:t>
      </w:r>
      <w:r w:rsidR="0023723A">
        <w:rPr>
          <w:rFonts w:ascii="Times New Roman" w:hAnsi="Times New Roman" w:cs="Times New Roman"/>
          <w:sz w:val="20"/>
          <w:szCs w:val="20"/>
        </w:rPr>
        <w:t xml:space="preserve"> </w:t>
      </w:r>
      <w:r w:rsidRPr="005A50B3">
        <w:rPr>
          <w:rFonts w:ascii="Times New Roman" w:hAnsi="Times New Roman" w:cs="Times New Roman"/>
          <w:sz w:val="20"/>
          <w:szCs w:val="20"/>
        </w:rPr>
        <w:t>Department heads create action plans for faculty, which often leads to remediation and improvement.</w:t>
      </w:r>
      <w:r w:rsidR="0023723A">
        <w:rPr>
          <w:rFonts w:ascii="Times New Roman" w:hAnsi="Times New Roman" w:cs="Times New Roman"/>
          <w:sz w:val="20"/>
          <w:szCs w:val="20"/>
        </w:rPr>
        <w:t xml:space="preserve"> </w:t>
      </w:r>
      <w:r w:rsidRPr="005A50B3">
        <w:rPr>
          <w:rFonts w:ascii="Times New Roman" w:hAnsi="Times New Roman" w:cs="Times New Roman"/>
          <w:sz w:val="20"/>
          <w:szCs w:val="20"/>
        </w:rPr>
        <w:t>When it doesn’t</w:t>
      </w:r>
      <w:r w:rsidR="0076703C" w:rsidRPr="005A50B3">
        <w:rPr>
          <w:rFonts w:ascii="Times New Roman" w:hAnsi="Times New Roman" w:cs="Times New Roman"/>
          <w:sz w:val="20"/>
          <w:szCs w:val="20"/>
        </w:rPr>
        <w:t>,</w:t>
      </w:r>
      <w:r w:rsidRPr="005A50B3">
        <w:rPr>
          <w:rFonts w:ascii="Times New Roman" w:hAnsi="Times New Roman" w:cs="Times New Roman"/>
          <w:sz w:val="20"/>
          <w:szCs w:val="20"/>
        </w:rPr>
        <w:t xml:space="preserve"> termination is a possibility.</w:t>
      </w:r>
      <w:r w:rsidR="0023723A">
        <w:rPr>
          <w:rFonts w:ascii="Times New Roman" w:hAnsi="Times New Roman" w:cs="Times New Roman"/>
          <w:sz w:val="20"/>
          <w:szCs w:val="20"/>
        </w:rPr>
        <w:t xml:space="preserve"> </w:t>
      </w:r>
      <w:r w:rsidRPr="005A50B3">
        <w:rPr>
          <w:rFonts w:ascii="Times New Roman" w:hAnsi="Times New Roman" w:cs="Times New Roman"/>
          <w:sz w:val="20"/>
          <w:szCs w:val="20"/>
        </w:rPr>
        <w:t xml:space="preserve">But in reality, it is more common for faculty identified as not meeting expectations to choose retirement, often earlier than they had planned, </w:t>
      </w:r>
      <w:r w:rsidR="0076703C" w:rsidRPr="005A50B3">
        <w:rPr>
          <w:rFonts w:ascii="Times New Roman" w:hAnsi="Times New Roman" w:cs="Times New Roman"/>
          <w:sz w:val="20"/>
          <w:szCs w:val="20"/>
        </w:rPr>
        <w:t xml:space="preserve">rather </w:t>
      </w:r>
      <w:r w:rsidRPr="005A50B3">
        <w:rPr>
          <w:rFonts w:ascii="Times New Roman" w:hAnsi="Times New Roman" w:cs="Times New Roman"/>
          <w:sz w:val="20"/>
          <w:szCs w:val="20"/>
        </w:rPr>
        <w:t>than undergo a prolonged process of remediation and performance reviews. While we can provide numbers for faculty removed because of poor post-tenure reviews, it is difficult to provide data regarding faculty who choose to retire after such reviews or before such reviews are performed.</w:t>
      </w:r>
      <w:r w:rsidR="0023723A">
        <w:rPr>
          <w:rFonts w:ascii="Times New Roman" w:hAnsi="Times New Roman" w:cs="Times New Roman"/>
          <w:sz w:val="20"/>
          <w:szCs w:val="20"/>
        </w:rPr>
        <w:t xml:space="preserve"> </w:t>
      </w:r>
      <w:r w:rsidRPr="005A50B3">
        <w:rPr>
          <w:rFonts w:ascii="Times New Roman" w:hAnsi="Times New Roman" w:cs="Times New Roman"/>
          <w:sz w:val="20"/>
          <w:szCs w:val="20"/>
        </w:rPr>
        <w:t>But that has certainly happened at WCU, and has been documented elsewhere.</w:t>
      </w:r>
    </w:p>
    <w:p w:rsidR="0010080C" w:rsidRPr="005A50B3" w:rsidRDefault="0010080C" w:rsidP="0010080C">
      <w:pPr>
        <w:spacing w:after="0" w:line="240" w:lineRule="auto"/>
        <w:rPr>
          <w:rFonts w:ascii="Times New Roman" w:hAnsi="Times New Roman" w:cs="Times New Roman"/>
          <w:sz w:val="20"/>
          <w:szCs w:val="20"/>
        </w:rPr>
      </w:pPr>
    </w:p>
    <w:p w:rsidR="00250C5C" w:rsidRDefault="00250C5C" w:rsidP="0010080C">
      <w:pPr>
        <w:spacing w:after="0" w:line="240" w:lineRule="auto"/>
        <w:rPr>
          <w:rFonts w:ascii="Times New Roman" w:hAnsi="Times New Roman" w:cs="Times New Roman"/>
          <w:b/>
          <w:sz w:val="20"/>
          <w:szCs w:val="20"/>
        </w:rPr>
      </w:pPr>
    </w:p>
    <w:p w:rsidR="00031BCE" w:rsidRDefault="00031BCE" w:rsidP="0010080C">
      <w:pPr>
        <w:spacing w:after="0" w:line="240" w:lineRule="auto"/>
        <w:rPr>
          <w:rFonts w:ascii="Times New Roman" w:hAnsi="Times New Roman" w:cs="Times New Roman"/>
          <w:b/>
          <w:sz w:val="20"/>
          <w:szCs w:val="20"/>
        </w:rPr>
      </w:pPr>
    </w:p>
    <w:p w:rsidR="00A942C3" w:rsidRDefault="00031BCE" w:rsidP="0010080C">
      <w:pPr>
        <w:spacing w:after="0" w:line="240" w:lineRule="auto"/>
        <w:rPr>
          <w:rFonts w:ascii="Times New Roman" w:hAnsi="Times New Roman" w:cs="Times New Roman"/>
          <w:b/>
          <w:sz w:val="20"/>
          <w:szCs w:val="20"/>
        </w:rPr>
      </w:pPr>
      <w:r w:rsidRPr="005A50B3">
        <w:rPr>
          <w:rFonts w:ascii="Times New Roman" w:hAnsi="Times New Roman" w:cs="Times New Roman"/>
          <w:b/>
          <w:sz w:val="20"/>
          <w:szCs w:val="20"/>
        </w:rPr>
        <w:t>WHY IS TENURE GOOD FOR WCU, FOR N</w:t>
      </w:r>
      <w:r w:rsidR="00542DD9">
        <w:rPr>
          <w:rFonts w:ascii="Times New Roman" w:hAnsi="Times New Roman" w:cs="Times New Roman"/>
          <w:b/>
          <w:sz w:val="20"/>
          <w:szCs w:val="20"/>
        </w:rPr>
        <w:t>ORTH CAROLINA</w:t>
      </w:r>
      <w:r w:rsidRPr="005A50B3">
        <w:rPr>
          <w:rFonts w:ascii="Times New Roman" w:hAnsi="Times New Roman" w:cs="Times New Roman"/>
          <w:b/>
          <w:sz w:val="20"/>
          <w:szCs w:val="20"/>
        </w:rPr>
        <w:t>,</w:t>
      </w:r>
      <w:r w:rsidR="0023723A">
        <w:rPr>
          <w:rFonts w:ascii="Times New Roman" w:hAnsi="Times New Roman" w:cs="Times New Roman"/>
          <w:b/>
          <w:sz w:val="20"/>
          <w:szCs w:val="20"/>
        </w:rPr>
        <w:t xml:space="preserve"> </w:t>
      </w:r>
      <w:r w:rsidRPr="005A50B3">
        <w:rPr>
          <w:rFonts w:ascii="Times New Roman" w:hAnsi="Times New Roman" w:cs="Times New Roman"/>
          <w:b/>
          <w:sz w:val="20"/>
          <w:szCs w:val="20"/>
        </w:rPr>
        <w:t xml:space="preserve">AND </w:t>
      </w:r>
    </w:p>
    <w:p w:rsidR="0010080C" w:rsidRPr="005A50B3" w:rsidRDefault="00031BCE" w:rsidP="0010080C">
      <w:pPr>
        <w:spacing w:after="0" w:line="240" w:lineRule="auto"/>
        <w:rPr>
          <w:rFonts w:ascii="Times New Roman" w:hAnsi="Times New Roman" w:cs="Times New Roman"/>
          <w:b/>
          <w:sz w:val="20"/>
          <w:szCs w:val="20"/>
        </w:rPr>
      </w:pPr>
      <w:proofErr w:type="gramStart"/>
      <w:r w:rsidRPr="005A50B3">
        <w:rPr>
          <w:rFonts w:ascii="Times New Roman" w:hAnsi="Times New Roman" w:cs="Times New Roman"/>
          <w:b/>
          <w:sz w:val="20"/>
          <w:szCs w:val="20"/>
        </w:rPr>
        <w:t>FOR THE COUNTRY?</w:t>
      </w:r>
      <w:proofErr w:type="gramEnd"/>
    </w:p>
    <w:p w:rsidR="00690389" w:rsidRPr="005A50B3" w:rsidRDefault="00690389" w:rsidP="0010080C">
      <w:pPr>
        <w:spacing w:after="0" w:line="240" w:lineRule="auto"/>
        <w:rPr>
          <w:rFonts w:ascii="Times New Roman" w:hAnsi="Times New Roman" w:cs="Times New Roman"/>
          <w:sz w:val="20"/>
          <w:szCs w:val="20"/>
        </w:rPr>
      </w:pPr>
    </w:p>
    <w:p w:rsidR="00690389" w:rsidRPr="005A50B3" w:rsidRDefault="00690389" w:rsidP="00250C5C">
      <w:pPr>
        <w:spacing w:after="0" w:line="240" w:lineRule="auto"/>
        <w:ind w:left="360"/>
        <w:jc w:val="both"/>
        <w:rPr>
          <w:rFonts w:ascii="Times New Roman" w:hAnsi="Times New Roman" w:cs="Times New Roman"/>
          <w:sz w:val="20"/>
          <w:szCs w:val="20"/>
        </w:rPr>
      </w:pPr>
      <w:r w:rsidRPr="005A50B3">
        <w:rPr>
          <w:rFonts w:ascii="Times New Roman" w:hAnsi="Times New Roman" w:cs="Times New Roman"/>
          <w:sz w:val="20"/>
          <w:szCs w:val="20"/>
        </w:rPr>
        <w:t>Tenure and academic freedom – to pursue scholarly agendas and to teach according to disciplinary standards – is central to the life of a university, to its ability to teach its students well (using the most current information and approaches)</w:t>
      </w:r>
      <w:r w:rsidR="00F82370">
        <w:rPr>
          <w:rFonts w:ascii="Times New Roman" w:hAnsi="Times New Roman" w:cs="Times New Roman"/>
          <w:sz w:val="20"/>
          <w:szCs w:val="20"/>
        </w:rPr>
        <w:t>, to its ability to attract the best faculty,</w:t>
      </w:r>
      <w:bookmarkStart w:id="0" w:name="_GoBack"/>
      <w:bookmarkEnd w:id="0"/>
      <w:r w:rsidRPr="005A50B3">
        <w:rPr>
          <w:rFonts w:ascii="Times New Roman" w:hAnsi="Times New Roman" w:cs="Times New Roman"/>
          <w:sz w:val="20"/>
          <w:szCs w:val="20"/>
        </w:rPr>
        <w:t xml:space="preserve"> and to its ability to foster the global competitiveness of our students, our state, and our country. Tenure, and the right to due process that comes with it, ensures that faculty are not removed for capricious reasons or penalized for purs</w:t>
      </w:r>
      <w:r w:rsidR="00A133F8" w:rsidRPr="005A50B3">
        <w:rPr>
          <w:rFonts w:ascii="Times New Roman" w:hAnsi="Times New Roman" w:cs="Times New Roman"/>
          <w:sz w:val="20"/>
          <w:szCs w:val="20"/>
        </w:rPr>
        <w:t>u</w:t>
      </w:r>
      <w:r w:rsidRPr="005A50B3">
        <w:rPr>
          <w:rFonts w:ascii="Times New Roman" w:hAnsi="Times New Roman" w:cs="Times New Roman"/>
          <w:sz w:val="20"/>
          <w:szCs w:val="20"/>
        </w:rPr>
        <w:t xml:space="preserve">ing research and teaching that may be unpopular or </w:t>
      </w:r>
      <w:r w:rsidR="00FA771C" w:rsidRPr="005A50B3">
        <w:rPr>
          <w:rFonts w:ascii="Times New Roman" w:hAnsi="Times New Roman" w:cs="Times New Roman"/>
          <w:sz w:val="20"/>
          <w:szCs w:val="20"/>
        </w:rPr>
        <w:t>original</w:t>
      </w:r>
      <w:r w:rsidRPr="005A50B3">
        <w:rPr>
          <w:rFonts w:ascii="Times New Roman" w:hAnsi="Times New Roman" w:cs="Times New Roman"/>
          <w:sz w:val="20"/>
          <w:szCs w:val="20"/>
        </w:rPr>
        <w:t>; it protects them from the winds of political and social fortune and allows them to</w:t>
      </w:r>
      <w:r w:rsidR="00FA771C" w:rsidRPr="005A50B3">
        <w:rPr>
          <w:rFonts w:ascii="Times New Roman" w:hAnsi="Times New Roman" w:cs="Times New Roman"/>
          <w:sz w:val="20"/>
          <w:szCs w:val="20"/>
        </w:rPr>
        <w:t xml:space="preserve"> focus on the kind of innovation and long-term development that has made, and kept, this country on the forefront of economic, social, and cultural development.</w:t>
      </w:r>
    </w:p>
    <w:sectPr w:rsidR="00690389" w:rsidRPr="005A50B3" w:rsidSect="00250C5C">
      <w:headerReference w:type="default" r:id="rId9"/>
      <w:pgSz w:w="12240" w:h="15840"/>
      <w:pgMar w:top="1167" w:right="126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C9" w:rsidRDefault="009D03C9" w:rsidP="00DF7D10">
      <w:pPr>
        <w:spacing w:after="0" w:line="240" w:lineRule="auto"/>
      </w:pPr>
      <w:r>
        <w:separator/>
      </w:r>
    </w:p>
  </w:endnote>
  <w:endnote w:type="continuationSeparator" w:id="0">
    <w:p w:rsidR="009D03C9" w:rsidRDefault="009D03C9" w:rsidP="00D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C9" w:rsidRDefault="009D03C9" w:rsidP="00DF7D10">
      <w:pPr>
        <w:spacing w:after="0" w:line="240" w:lineRule="auto"/>
      </w:pPr>
      <w:r>
        <w:separator/>
      </w:r>
    </w:p>
  </w:footnote>
  <w:footnote w:type="continuationSeparator" w:id="0">
    <w:p w:rsidR="009D03C9" w:rsidRDefault="009D03C9" w:rsidP="00DF7D10">
      <w:pPr>
        <w:spacing w:after="0" w:line="240" w:lineRule="auto"/>
      </w:pPr>
      <w:r>
        <w:continuationSeparator/>
      </w:r>
    </w:p>
  </w:footnote>
  <w:footnote w:id="1">
    <w:p w:rsidR="00DF7D10" w:rsidRPr="008A0468" w:rsidRDefault="00DF7D10" w:rsidP="00DF7D10">
      <w:pPr>
        <w:pStyle w:val="FootnoteText"/>
        <w:rPr>
          <w:sz w:val="18"/>
          <w:szCs w:val="18"/>
        </w:rPr>
      </w:pPr>
      <w:r w:rsidRPr="008A0468">
        <w:rPr>
          <w:rStyle w:val="FootnoteReference"/>
          <w:sz w:val="18"/>
          <w:szCs w:val="18"/>
        </w:rPr>
        <w:footnoteRef/>
      </w:r>
      <w:r w:rsidRPr="008A0468">
        <w:rPr>
          <w:sz w:val="18"/>
          <w:szCs w:val="18"/>
        </w:rPr>
        <w:t xml:space="preserve"> Robert T. Blackburn and Janet H. Lawrence, “Aging and the Quality of Faculty Job Performance,” </w:t>
      </w:r>
      <w:r w:rsidRPr="008A0468">
        <w:rPr>
          <w:i/>
          <w:sz w:val="18"/>
          <w:szCs w:val="18"/>
        </w:rPr>
        <w:t>Review of Educational Research</w:t>
      </w:r>
      <w:r w:rsidRPr="008A0468">
        <w:rPr>
          <w:sz w:val="18"/>
          <w:szCs w:val="18"/>
        </w:rPr>
        <w:t xml:space="preserve"> (Fall 1986): 265-290. See also, Blackburn and Lawrence, </w:t>
      </w:r>
      <w:r w:rsidRPr="008A0468">
        <w:rPr>
          <w:i/>
          <w:sz w:val="18"/>
          <w:szCs w:val="18"/>
        </w:rPr>
        <w:t>Faculty at Work: Motivation, Expectation, Satisfaction</w:t>
      </w:r>
      <w:r w:rsidRPr="008A0468">
        <w:rPr>
          <w:sz w:val="18"/>
          <w:szCs w:val="18"/>
        </w:rPr>
        <w:t xml:space="preserve"> (Baltimore: The Johns Hopkins University Press,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D9" w:rsidRDefault="007924D9" w:rsidP="007924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Definition and Role of Tenure</w:t>
    </w:r>
  </w:p>
  <w:p w:rsidR="007924D9" w:rsidRDefault="007924D9" w:rsidP="007924D9">
    <w:pPr>
      <w:pStyle w:val="Header"/>
      <w:jc w:val="cente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1F9CCA7" wp14:editId="372CD386">
              <wp:simplePos x="0" y="0"/>
              <wp:positionH relativeFrom="column">
                <wp:posOffset>-7951</wp:posOffset>
              </wp:positionH>
              <wp:positionV relativeFrom="paragraph">
                <wp:posOffset>289394</wp:posOffset>
              </wp:positionV>
              <wp:extent cx="5963478"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59634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22.8pt" to="468.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" strokecolor="#4579b8 [3044]"/>
          </w:pict>
        </mc:Fallback>
      </mc:AlternateContent>
    </w:r>
    <w:r>
      <w:rPr>
        <w:rFonts w:ascii="Times New Roman" w:hAnsi="Times New Roman" w:cs="Times New Roman"/>
        <w:b/>
        <w:sz w:val="24"/>
        <w:szCs w:val="24"/>
      </w:rPr>
      <w:t>At WCU and in American Higher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10FE"/>
    <w:multiLevelType w:val="hybridMultilevel"/>
    <w:tmpl w:val="7FC4F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062D46"/>
    <w:multiLevelType w:val="hybridMultilevel"/>
    <w:tmpl w:val="78E8D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B0"/>
    <w:rsid w:val="00031BCE"/>
    <w:rsid w:val="0010080C"/>
    <w:rsid w:val="00164009"/>
    <w:rsid w:val="00177526"/>
    <w:rsid w:val="001A74E9"/>
    <w:rsid w:val="001D01E4"/>
    <w:rsid w:val="0023723A"/>
    <w:rsid w:val="002478E5"/>
    <w:rsid w:val="00250C5C"/>
    <w:rsid w:val="00324569"/>
    <w:rsid w:val="003931C9"/>
    <w:rsid w:val="003B22E6"/>
    <w:rsid w:val="00435CC3"/>
    <w:rsid w:val="004468B0"/>
    <w:rsid w:val="004534CA"/>
    <w:rsid w:val="00463E51"/>
    <w:rsid w:val="00542DD9"/>
    <w:rsid w:val="00544FEA"/>
    <w:rsid w:val="005750F4"/>
    <w:rsid w:val="005A0159"/>
    <w:rsid w:val="005A50B3"/>
    <w:rsid w:val="00690389"/>
    <w:rsid w:val="00713C1E"/>
    <w:rsid w:val="00741598"/>
    <w:rsid w:val="0076703C"/>
    <w:rsid w:val="007924D9"/>
    <w:rsid w:val="00817998"/>
    <w:rsid w:val="00886121"/>
    <w:rsid w:val="008A0468"/>
    <w:rsid w:val="008C2ECC"/>
    <w:rsid w:val="00914E08"/>
    <w:rsid w:val="00936692"/>
    <w:rsid w:val="00966A37"/>
    <w:rsid w:val="009D03C9"/>
    <w:rsid w:val="009D5E9E"/>
    <w:rsid w:val="009F62A5"/>
    <w:rsid w:val="00A130F4"/>
    <w:rsid w:val="00A133F8"/>
    <w:rsid w:val="00A33C7A"/>
    <w:rsid w:val="00A942C3"/>
    <w:rsid w:val="00B9421A"/>
    <w:rsid w:val="00BF7366"/>
    <w:rsid w:val="00C32CA0"/>
    <w:rsid w:val="00C450B5"/>
    <w:rsid w:val="00C67AF9"/>
    <w:rsid w:val="00C95E13"/>
    <w:rsid w:val="00DD3055"/>
    <w:rsid w:val="00DF7D10"/>
    <w:rsid w:val="00E00C29"/>
    <w:rsid w:val="00E232AE"/>
    <w:rsid w:val="00ED0647"/>
    <w:rsid w:val="00F0692C"/>
    <w:rsid w:val="00F82370"/>
    <w:rsid w:val="00FA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B0"/>
    <w:pPr>
      <w:ind w:left="720"/>
      <w:contextualSpacing/>
    </w:pPr>
  </w:style>
  <w:style w:type="character" w:styleId="Hyperlink">
    <w:name w:val="Hyperlink"/>
    <w:basedOn w:val="DefaultParagraphFont"/>
    <w:uiPriority w:val="99"/>
    <w:unhideWhenUsed/>
    <w:rsid w:val="009D5E9E"/>
    <w:rPr>
      <w:color w:val="0000FF" w:themeColor="hyperlink"/>
      <w:u w:val="single"/>
    </w:rPr>
  </w:style>
  <w:style w:type="character" w:styleId="FollowedHyperlink">
    <w:name w:val="FollowedHyperlink"/>
    <w:basedOn w:val="DefaultParagraphFont"/>
    <w:uiPriority w:val="99"/>
    <w:semiHidden/>
    <w:unhideWhenUsed/>
    <w:rsid w:val="003931C9"/>
    <w:rPr>
      <w:color w:val="800080" w:themeColor="followedHyperlink"/>
      <w:u w:val="single"/>
    </w:rPr>
  </w:style>
  <w:style w:type="paragraph" w:styleId="FootnoteText">
    <w:name w:val="footnote text"/>
    <w:basedOn w:val="Normal"/>
    <w:link w:val="FootnoteTextChar"/>
    <w:uiPriority w:val="99"/>
    <w:unhideWhenUsed/>
    <w:rsid w:val="00DF7D10"/>
    <w:pPr>
      <w:spacing w:after="0" w:line="240" w:lineRule="auto"/>
    </w:pPr>
    <w:rPr>
      <w:sz w:val="20"/>
      <w:szCs w:val="20"/>
    </w:rPr>
  </w:style>
  <w:style w:type="character" w:customStyle="1" w:styleId="FootnoteTextChar">
    <w:name w:val="Footnote Text Char"/>
    <w:basedOn w:val="DefaultParagraphFont"/>
    <w:link w:val="FootnoteText"/>
    <w:uiPriority w:val="99"/>
    <w:rsid w:val="00DF7D10"/>
    <w:rPr>
      <w:sz w:val="20"/>
      <w:szCs w:val="20"/>
    </w:rPr>
  </w:style>
  <w:style w:type="character" w:styleId="FootnoteReference">
    <w:name w:val="footnote reference"/>
    <w:basedOn w:val="DefaultParagraphFont"/>
    <w:uiPriority w:val="99"/>
    <w:semiHidden/>
    <w:unhideWhenUsed/>
    <w:rsid w:val="00DF7D10"/>
    <w:rPr>
      <w:vertAlign w:val="superscript"/>
    </w:rPr>
  </w:style>
  <w:style w:type="paragraph" w:styleId="BalloonText">
    <w:name w:val="Balloon Text"/>
    <w:basedOn w:val="Normal"/>
    <w:link w:val="BalloonTextChar"/>
    <w:uiPriority w:val="99"/>
    <w:semiHidden/>
    <w:unhideWhenUsed/>
    <w:rsid w:val="0081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98"/>
    <w:rPr>
      <w:rFonts w:ascii="Tahoma" w:hAnsi="Tahoma" w:cs="Tahoma"/>
      <w:sz w:val="16"/>
      <w:szCs w:val="16"/>
    </w:rPr>
  </w:style>
  <w:style w:type="paragraph" w:styleId="Header">
    <w:name w:val="header"/>
    <w:basedOn w:val="Normal"/>
    <w:link w:val="HeaderChar"/>
    <w:uiPriority w:val="99"/>
    <w:unhideWhenUsed/>
    <w:rsid w:val="0079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D9"/>
  </w:style>
  <w:style w:type="paragraph" w:styleId="Footer">
    <w:name w:val="footer"/>
    <w:basedOn w:val="Normal"/>
    <w:link w:val="FooterChar"/>
    <w:uiPriority w:val="99"/>
    <w:unhideWhenUsed/>
    <w:rsid w:val="0079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B0"/>
    <w:pPr>
      <w:ind w:left="720"/>
      <w:contextualSpacing/>
    </w:pPr>
  </w:style>
  <w:style w:type="character" w:styleId="Hyperlink">
    <w:name w:val="Hyperlink"/>
    <w:basedOn w:val="DefaultParagraphFont"/>
    <w:uiPriority w:val="99"/>
    <w:unhideWhenUsed/>
    <w:rsid w:val="009D5E9E"/>
    <w:rPr>
      <w:color w:val="0000FF" w:themeColor="hyperlink"/>
      <w:u w:val="single"/>
    </w:rPr>
  </w:style>
  <w:style w:type="character" w:styleId="FollowedHyperlink">
    <w:name w:val="FollowedHyperlink"/>
    <w:basedOn w:val="DefaultParagraphFont"/>
    <w:uiPriority w:val="99"/>
    <w:semiHidden/>
    <w:unhideWhenUsed/>
    <w:rsid w:val="003931C9"/>
    <w:rPr>
      <w:color w:val="800080" w:themeColor="followedHyperlink"/>
      <w:u w:val="single"/>
    </w:rPr>
  </w:style>
  <w:style w:type="paragraph" w:styleId="FootnoteText">
    <w:name w:val="footnote text"/>
    <w:basedOn w:val="Normal"/>
    <w:link w:val="FootnoteTextChar"/>
    <w:uiPriority w:val="99"/>
    <w:unhideWhenUsed/>
    <w:rsid w:val="00DF7D10"/>
    <w:pPr>
      <w:spacing w:after="0" w:line="240" w:lineRule="auto"/>
    </w:pPr>
    <w:rPr>
      <w:sz w:val="20"/>
      <w:szCs w:val="20"/>
    </w:rPr>
  </w:style>
  <w:style w:type="character" w:customStyle="1" w:styleId="FootnoteTextChar">
    <w:name w:val="Footnote Text Char"/>
    <w:basedOn w:val="DefaultParagraphFont"/>
    <w:link w:val="FootnoteText"/>
    <w:uiPriority w:val="99"/>
    <w:rsid w:val="00DF7D10"/>
    <w:rPr>
      <w:sz w:val="20"/>
      <w:szCs w:val="20"/>
    </w:rPr>
  </w:style>
  <w:style w:type="character" w:styleId="FootnoteReference">
    <w:name w:val="footnote reference"/>
    <w:basedOn w:val="DefaultParagraphFont"/>
    <w:uiPriority w:val="99"/>
    <w:semiHidden/>
    <w:unhideWhenUsed/>
    <w:rsid w:val="00DF7D10"/>
    <w:rPr>
      <w:vertAlign w:val="superscript"/>
    </w:rPr>
  </w:style>
  <w:style w:type="paragraph" w:styleId="BalloonText">
    <w:name w:val="Balloon Text"/>
    <w:basedOn w:val="Normal"/>
    <w:link w:val="BalloonTextChar"/>
    <w:uiPriority w:val="99"/>
    <w:semiHidden/>
    <w:unhideWhenUsed/>
    <w:rsid w:val="0081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98"/>
    <w:rPr>
      <w:rFonts w:ascii="Tahoma" w:hAnsi="Tahoma" w:cs="Tahoma"/>
      <w:sz w:val="16"/>
      <w:szCs w:val="16"/>
    </w:rPr>
  </w:style>
  <w:style w:type="paragraph" w:styleId="Header">
    <w:name w:val="header"/>
    <w:basedOn w:val="Normal"/>
    <w:link w:val="HeaderChar"/>
    <w:uiPriority w:val="99"/>
    <w:unhideWhenUsed/>
    <w:rsid w:val="0079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D9"/>
  </w:style>
  <w:style w:type="paragraph" w:styleId="Footer">
    <w:name w:val="footer"/>
    <w:basedOn w:val="Normal"/>
    <w:link w:val="FooterChar"/>
    <w:uiPriority w:val="99"/>
    <w:unhideWhenUsed/>
    <w:rsid w:val="0079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3974-5EFE-4D57-A9D3-273E1E99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bgastle</dc:creator>
  <cp:lastModifiedBy>B Gastle</cp:lastModifiedBy>
  <cp:revision>28</cp:revision>
  <dcterms:created xsi:type="dcterms:W3CDTF">2014-05-11T18:22:00Z</dcterms:created>
  <dcterms:modified xsi:type="dcterms:W3CDTF">2014-05-22T19:05:00Z</dcterms:modified>
</cp:coreProperties>
</file>