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091423" w:rsidRPr="006614F1" w14:paraId="0DE6ABB5" w14:textId="77777777" w:rsidTr="00E806A1">
        <w:tc>
          <w:tcPr>
            <w:tcW w:w="12456" w:type="dxa"/>
          </w:tcPr>
          <w:p w14:paraId="7120AF01" w14:textId="3EA952DA" w:rsidR="00091423" w:rsidRPr="006614F1" w:rsidRDefault="005913F0">
            <w:pPr>
              <w:rPr>
                <w:highlight w:val="yellow"/>
              </w:rPr>
            </w:pPr>
            <w:bookmarkStart w:id="0" w:name="_GoBack"/>
            <w:bookmarkEnd w:id="0"/>
            <w:r w:rsidRPr="006614F1">
              <w:rPr>
                <w:noProof/>
                <w:highlight w:val="yellow"/>
              </w:rPr>
              <w:drawing>
                <wp:inline distT="0" distB="0" distL="0" distR="0" wp14:anchorId="00DC4034" wp14:editId="1C97B78D">
                  <wp:extent cx="7772400" cy="13776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-HTML banner-v1-09211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5F96C" w14:textId="14AE0EA4" w:rsidR="00AD1BA2" w:rsidRPr="006614F1" w:rsidRDefault="00945B3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552F" wp14:editId="6AD8117B">
                <wp:simplePos x="0" y="0"/>
                <wp:positionH relativeFrom="column">
                  <wp:posOffset>266700</wp:posOffset>
                </wp:positionH>
                <wp:positionV relativeFrom="paragraph">
                  <wp:posOffset>247650</wp:posOffset>
                </wp:positionV>
                <wp:extent cx="7229475" cy="7715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771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E905" w14:textId="3D683503" w:rsidR="00945B37" w:rsidRPr="00BF7AB7" w:rsidRDefault="004F4001" w:rsidP="00BF7AB7">
                            <w:pPr>
                              <w:pStyle w:val="Title"/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F7AB7">
                              <w:rPr>
                                <w:b/>
                                <w:sz w:val="36"/>
                                <w:szCs w:val="36"/>
                              </w:rPr>
                              <w:t>Benefits Enrollment for Employees in Same-Sex Marriages</w:t>
                            </w:r>
                          </w:p>
                          <w:p w14:paraId="2B9DD263" w14:textId="382EC40C" w:rsidR="004F4001" w:rsidRPr="004F4001" w:rsidRDefault="004F4001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2"/>
                              </w:rPr>
                            </w:pPr>
                            <w:r w:rsidRPr="004F4001">
                              <w:rPr>
                                <w:sz w:val="22"/>
                              </w:rPr>
                              <w:t>On October 10, a federal court judge overturned North Carolina’s ban on same-sex marriage. We are pleased to announ</w:t>
                            </w:r>
                            <w:r w:rsidR="006F58D2">
                              <w:rPr>
                                <w:sz w:val="22"/>
                              </w:rPr>
                              <w:t>ce that</w:t>
                            </w:r>
                            <w:r w:rsidRPr="004F4001">
                              <w:rPr>
                                <w:sz w:val="22"/>
                              </w:rPr>
                              <w:t xml:space="preserve"> </w:t>
                            </w:r>
                            <w:r w:rsidR="007468F6">
                              <w:rPr>
                                <w:sz w:val="22"/>
                              </w:rPr>
                              <w:t xml:space="preserve">same-sex spouses </w:t>
                            </w:r>
                            <w:r w:rsidR="009F6CD9">
                              <w:rPr>
                                <w:sz w:val="22"/>
                              </w:rPr>
                              <w:t xml:space="preserve">of employees </w:t>
                            </w:r>
                            <w:r w:rsidR="007468F6">
                              <w:rPr>
                                <w:sz w:val="22"/>
                              </w:rPr>
                              <w:t xml:space="preserve">are now eligible for coverage under </w:t>
                            </w:r>
                            <w:r w:rsidRPr="004F4001">
                              <w:rPr>
                                <w:sz w:val="22"/>
                              </w:rPr>
                              <w:t xml:space="preserve">the </w:t>
                            </w:r>
                            <w:r w:rsidR="007468F6">
                              <w:rPr>
                                <w:sz w:val="22"/>
                              </w:rPr>
                              <w:t xml:space="preserve">State Health Plan and NCFlex benefits program. </w:t>
                            </w:r>
                          </w:p>
                          <w:p w14:paraId="609CFA7A" w14:textId="77777777" w:rsidR="004F4001" w:rsidRPr="004F4001" w:rsidRDefault="004F4001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5CEF28C2" w14:textId="11F13C52" w:rsidR="007468F6" w:rsidRPr="007468F6" w:rsidRDefault="007468F6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color w:val="00535E" w:themeColor="text2"/>
                                <w:sz w:val="28"/>
                                <w:szCs w:val="28"/>
                              </w:rPr>
                            </w:pPr>
                            <w:r w:rsidRPr="007468F6">
                              <w:rPr>
                                <w:b/>
                                <w:color w:val="00535E" w:themeColor="text2"/>
                                <w:sz w:val="28"/>
                                <w:szCs w:val="28"/>
                              </w:rPr>
                              <w:t>What This Means to You</w:t>
                            </w:r>
                          </w:p>
                          <w:p w14:paraId="4593D323" w14:textId="77777777" w:rsidR="007468F6" w:rsidRDefault="007468F6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06DFDE74" w14:textId="2E22D101" w:rsidR="004F4001" w:rsidRPr="00BF7AB7" w:rsidRDefault="00D7111B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This ruling is considered a qualifying life event. As a result, if you are an eligible e</w:t>
                            </w:r>
                            <w:r w:rsidR="007468F6" w:rsidRPr="004F4001">
                              <w:rPr>
                                <w:sz w:val="22"/>
                              </w:rPr>
                              <w:t xml:space="preserve">mployee </w:t>
                            </w:r>
                            <w:r>
                              <w:rPr>
                                <w:sz w:val="22"/>
                              </w:rPr>
                              <w:t>who w</w:t>
                            </w:r>
                            <w:r w:rsidR="00F22BC5">
                              <w:rPr>
                                <w:sz w:val="22"/>
                              </w:rPr>
                              <w:t>as</w:t>
                            </w:r>
                            <w:r>
                              <w:rPr>
                                <w:sz w:val="22"/>
                              </w:rPr>
                              <w:t xml:space="preserve"> married in North Carolina </w:t>
                            </w:r>
                            <w:r w:rsidR="007468F6" w:rsidRPr="004F4001">
                              <w:rPr>
                                <w:sz w:val="22"/>
                              </w:rPr>
                              <w:t>or another state that recognize</w:t>
                            </w:r>
                            <w:r w:rsidR="00F22BC5">
                              <w:rPr>
                                <w:sz w:val="22"/>
                              </w:rPr>
                              <w:t>d</w:t>
                            </w:r>
                            <w:r w:rsidR="007468F6" w:rsidRPr="004F4001">
                              <w:rPr>
                                <w:sz w:val="22"/>
                              </w:rPr>
                              <w:t xml:space="preserve"> same-sex marriage </w:t>
                            </w:r>
                            <w:r w:rsidR="00F22BC5">
                              <w:rPr>
                                <w:sz w:val="22"/>
                              </w:rPr>
                              <w:t xml:space="preserve">prior to October 13, 2014, you have 30 days </w:t>
                            </w:r>
                            <w:r w:rsidR="009F6CD9">
                              <w:rPr>
                                <w:sz w:val="22"/>
                              </w:rPr>
                              <w:t xml:space="preserve">(until November 11, 2014) </w:t>
                            </w:r>
                            <w:r w:rsidR="00F22BC5">
                              <w:rPr>
                                <w:sz w:val="22"/>
                              </w:rPr>
                              <w:t xml:space="preserve">to </w:t>
                            </w:r>
                            <w:r w:rsidR="004C7C82">
                              <w:rPr>
                                <w:sz w:val="22"/>
                              </w:rPr>
                              <w:t xml:space="preserve">enroll </w:t>
                            </w:r>
                            <w:r w:rsidR="00F22BC5">
                              <w:rPr>
                                <w:sz w:val="22"/>
                              </w:rPr>
                              <w:t>your</w:t>
                            </w:r>
                            <w:r w:rsidR="004C7C82">
                              <w:rPr>
                                <w:sz w:val="22"/>
                              </w:rPr>
                              <w:t xml:space="preserve"> same-sex spouse </w:t>
                            </w:r>
                            <w:r w:rsidR="007468F6">
                              <w:rPr>
                                <w:sz w:val="22"/>
                              </w:rPr>
                              <w:t>for benefits coverage provided through the University</w:t>
                            </w:r>
                            <w:r w:rsidR="007468F6" w:rsidRPr="004F4001">
                              <w:rPr>
                                <w:sz w:val="22"/>
                              </w:rPr>
                              <w:t>.</w:t>
                            </w:r>
                            <w:r w:rsidR="004F4001" w:rsidRPr="004F4001">
                              <w:rPr>
                                <w:sz w:val="22"/>
                              </w:rPr>
                              <w:t xml:space="preserve"> A marriage certificate will be necessary to verify </w:t>
                            </w:r>
                            <w:r w:rsidR="004C7C82">
                              <w:rPr>
                                <w:sz w:val="22"/>
                              </w:rPr>
                              <w:t>your</w:t>
                            </w:r>
                            <w:r w:rsidR="004F4001" w:rsidRPr="004F4001">
                              <w:rPr>
                                <w:sz w:val="22"/>
                              </w:rPr>
                              <w:t xml:space="preserve"> spouse as an eligible member. </w:t>
                            </w:r>
                            <w:r w:rsidR="004C7C82" w:rsidRPr="004C7C82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="004F4001" w:rsidRPr="00BF7AB7">
                              <w:rPr>
                                <w:b/>
                                <w:sz w:val="22"/>
                              </w:rPr>
                              <w:t xml:space="preserve">overage </w:t>
                            </w:r>
                            <w:r w:rsidR="004C7C82">
                              <w:rPr>
                                <w:b/>
                                <w:sz w:val="22"/>
                              </w:rPr>
                              <w:t xml:space="preserve">for your spouse </w:t>
                            </w:r>
                            <w:r w:rsidR="004F4001" w:rsidRPr="00BF7AB7">
                              <w:rPr>
                                <w:b/>
                                <w:sz w:val="22"/>
                              </w:rPr>
                              <w:t>will be effective November 1, 2014.</w:t>
                            </w:r>
                            <w:r w:rsidR="009F6CD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565BFA9" w14:textId="77777777" w:rsidR="004F4001" w:rsidRPr="004F4001" w:rsidRDefault="004F4001" w:rsidP="00BF7A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4D7C0D4D" w14:textId="5F1AE63F" w:rsidR="00945B37" w:rsidRPr="00945B37" w:rsidRDefault="00F22BC5" w:rsidP="00BF7AB7">
                            <w:pPr>
                              <w:rPr>
                                <w:b/>
                                <w:color w:val="00535E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35E" w:themeColor="text2"/>
                                <w:sz w:val="28"/>
                                <w:szCs w:val="28"/>
                              </w:rPr>
                              <w:t>Things to Consider</w:t>
                            </w:r>
                          </w:p>
                          <w:p w14:paraId="705DF5F4" w14:textId="4E929559" w:rsidR="00BF7AB7" w:rsidRPr="00BF7AB7" w:rsidRDefault="00BF7AB7" w:rsidP="009F6CD9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C735A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Benefits.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You can enroll your </w:t>
                            </w:r>
                            <w:r w:rsidR="005A1E28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same-sex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spouse for </w:t>
                            </w:r>
                            <w:r w:rsidRPr="00BC735A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benefits until October 31. If you have completed your enrollment already, simply update your elections in the system. </w:t>
                            </w:r>
                            <w:r w:rsidR="009F6CD9" w:rsidRPr="009F6CD9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A marriage certificate will be necessary to verify your spouse as an eligible member. </w:t>
                            </w:r>
                            <w:r w:rsidRPr="00BF7AB7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Deadline: </w:t>
                            </w:r>
                            <w:r w:rsidR="009F6CD9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31, 2014.</w:t>
                            </w:r>
                          </w:p>
                          <w:p w14:paraId="0CBDBE96" w14:textId="77777777" w:rsidR="00BF7AB7" w:rsidRDefault="00BF7AB7" w:rsidP="009F6C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FB18F4B" w14:textId="77777777" w:rsidR="00BF7AB7" w:rsidRDefault="00BF7AB7" w:rsidP="009F6CD9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Beneficiaries.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As you update your benefits, we encourage you to check your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beneficiaries for your life insurance and retirement plans to be sure they are current.</w:t>
                            </w:r>
                          </w:p>
                          <w:p w14:paraId="029AEE89" w14:textId="77777777" w:rsidR="00BF7AB7" w:rsidRDefault="00BF7AB7" w:rsidP="009F6C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9D3219D" w14:textId="30264C2D" w:rsidR="00BF7AB7" w:rsidRPr="00BC735A" w:rsidRDefault="00BF7AB7" w:rsidP="009F6CD9">
                            <w:pPr>
                              <w:pStyle w:val="NormalWeb"/>
                              <w:numPr>
                                <w:ilvl w:val="0"/>
                                <w:numId w:val="2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0990">
                              <w:rPr>
                                <w:rFonts w:asciiTheme="minorHAnsi" w:hAnsiTheme="minorHAnsi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Getting Married in the Future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. If you get married </w:t>
                            </w:r>
                            <w:r w:rsidR="00F22BC5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after October 13, 2014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same-sex 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marriage will continue to be a qualifying life event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will have 30 days </w:t>
                            </w:r>
                            <w:r w:rsidR="00D7111B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from the date of the marriage 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to add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your spouse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r w:rsidRPr="00390990">
                              <w:rPr>
                                <w:rFonts w:asciiTheme="minorHAnsi" w:hAnsiTheme="minorHAnsi" w:cs="Helvetica"/>
                                <w:color w:val="000000"/>
                                <w:sz w:val="22"/>
                                <w:szCs w:val="22"/>
                              </w:rPr>
                              <w:t xml:space="preserve"> coverage. The effective date of coverage will be the 1st of the following month.</w:t>
                            </w:r>
                          </w:p>
                          <w:p w14:paraId="1570C9DE" w14:textId="77777777" w:rsidR="00945B37" w:rsidRPr="00945B37" w:rsidRDefault="00945B37" w:rsidP="00945B3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535E"/>
                              <w:tblCellMar>
                                <w:top w:w="72" w:type="dxa"/>
                                <w:left w:w="216" w:type="dxa"/>
                                <w:bottom w:w="72" w:type="dxa"/>
                                <w:right w:w="21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02"/>
                            </w:tblGrid>
                            <w:tr w:rsidR="00BF7AB7" w:rsidRPr="00FD2E9E" w14:paraId="71996901" w14:textId="77777777" w:rsidTr="006F58D2">
                              <w:tc>
                                <w:tcPr>
                                  <w:tcW w:w="10522" w:type="dxa"/>
                                  <w:shd w:val="clear" w:color="auto" w:fill="00535E"/>
                                </w:tcPr>
                                <w:p w14:paraId="7E2974AE" w14:textId="77777777" w:rsidR="00BF7AB7" w:rsidRPr="00D16383" w:rsidRDefault="00BF7AB7" w:rsidP="00AC3EEF">
                                  <w:pPr>
                                    <w:pStyle w:val="Callouthead-white"/>
                                    <w:spacing w:before="120"/>
                                  </w:pPr>
                                  <w:r w:rsidRPr="00D16383">
                                    <w:t>One-Stop Enrollment</w:t>
                                  </w:r>
                                </w:p>
                                <w:p w14:paraId="176E22F6" w14:textId="20241CCD" w:rsidR="00BF7AB7" w:rsidRDefault="00BF7AB7" w:rsidP="00AC3EEF">
                                  <w:pPr>
                                    <w:pStyle w:val="body"/>
                                    <w:rPr>
                                      <w:szCs w:val="20"/>
                                    </w:rPr>
                                  </w:pPr>
                                  <w:r w:rsidRPr="003E3593">
                                    <w:rPr>
                                      <w:szCs w:val="20"/>
                                    </w:rPr>
                                    <w:t xml:space="preserve">Log on to </w:t>
                                  </w:r>
                                  <w:hyperlink r:id="rId6" w:history="1">
                                    <w:r w:rsidRPr="003E3593">
                                      <w:rPr>
                                        <w:b/>
                                        <w:szCs w:val="20"/>
                                        <w:u w:val="single"/>
                                      </w:rPr>
                                      <w:t>https://shp-login.hrintouch.com</w:t>
                                    </w:r>
                                  </w:hyperlink>
                                  <w:r w:rsidRPr="003E3593">
                                    <w:rPr>
                                      <w:szCs w:val="20"/>
                                    </w:rPr>
                                    <w:t xml:space="preserve"> to enroll or make changes to your benefit elections.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You can enroll in or update the following benefits: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101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0"/>
                                    <w:gridCol w:w="3390"/>
                                    <w:gridCol w:w="3390"/>
                                  </w:tblGrid>
                                  <w:tr w:rsidR="00BF7AB7" w14:paraId="71B758A9" w14:textId="77777777" w:rsidTr="006F58D2">
                                    <w:tc>
                                      <w:tcPr>
                                        <w:tcW w:w="3390" w:type="dxa"/>
                                      </w:tcPr>
                                      <w:p w14:paraId="773FF27C" w14:textId="77777777" w:rsidR="00BF7AB7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Health</w:t>
                                        </w:r>
                                      </w:p>
                                      <w:p w14:paraId="6B4664F2" w14:textId="77777777" w:rsidR="00BF7AB7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Dental</w:t>
                                        </w:r>
                                      </w:p>
                                      <w:p w14:paraId="069B9952" w14:textId="77777777" w:rsidR="00BF7AB7" w:rsidRPr="00D16383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Vision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0" w:type="dxa"/>
                                      </w:tcPr>
                                      <w:p w14:paraId="1A558694" w14:textId="77777777" w:rsidR="00BF7AB7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Cancer</w:t>
                                        </w:r>
                                      </w:p>
                                      <w:p w14:paraId="5E18A08C" w14:textId="77777777" w:rsidR="00BF7AB7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Critical Illness</w:t>
                                        </w:r>
                                      </w:p>
                                      <w:p w14:paraId="71D41151" w14:textId="77777777" w:rsidR="00BF7AB7" w:rsidRPr="00D16383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Core AD&amp;D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0" w:type="dxa"/>
                                      </w:tcPr>
                                      <w:p w14:paraId="6FA9574B" w14:textId="7CB28E94" w:rsidR="00BF7AB7" w:rsidRPr="00D16383" w:rsidRDefault="00AA389B" w:rsidP="00AA389B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tabs>
                                            <w:tab w:val="left" w:pos="492"/>
                                          </w:tabs>
                                          <w:ind w:left="261" w:hanging="270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G</w:t>
                                        </w:r>
                                        <w:r w:rsidR="00BF7AB7">
                                          <w:rPr>
                                            <w:szCs w:val="20"/>
                                          </w:rPr>
                                          <w:t>roup Term Life</w:t>
                                        </w:r>
                                      </w:p>
                                      <w:p w14:paraId="4E86D6A6" w14:textId="77777777" w:rsidR="00BF7AB7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195" w:hanging="195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Voluntary AD&amp;D</w:t>
                                        </w:r>
                                      </w:p>
                                      <w:p w14:paraId="25E588A1" w14:textId="77777777" w:rsidR="00BF7AB7" w:rsidRPr="00D16383" w:rsidRDefault="00BF7AB7" w:rsidP="00BF7AB7">
                                        <w:pPr>
                                          <w:pStyle w:val="body"/>
                                          <w:numPr>
                                            <w:ilvl w:val="0"/>
                                            <w:numId w:val="28"/>
                                          </w:numPr>
                                          <w:ind w:left="195" w:hanging="195"/>
                                          <w:rPr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Cs w:val="20"/>
                                          </w:rPr>
                                          <w:t>Flexible Spending Accounts</w:t>
                                        </w:r>
                                      </w:p>
                                    </w:tc>
                                  </w:tr>
                                </w:tbl>
                                <w:p w14:paraId="21D132DF" w14:textId="77777777" w:rsidR="00BF7AB7" w:rsidRPr="00FD2E9E" w:rsidRDefault="00BF7AB7" w:rsidP="00AC3EEF">
                                  <w:pPr>
                                    <w:pStyle w:val="body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15EFB" w14:textId="77777777" w:rsidR="00945B37" w:rsidRDefault="00945B37" w:rsidP="00945B37"/>
                          <w:p w14:paraId="03D5A9C4" w14:textId="77777777" w:rsidR="00945B37" w:rsidRDefault="00945B37" w:rsidP="00945B37"/>
                          <w:p w14:paraId="2675846C" w14:textId="77777777" w:rsidR="00945B37" w:rsidRDefault="00945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5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9.5pt;width:569.2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" fillcolor="white [3201]" strokeweight=".5pt">
                <v:textbox>
                  <w:txbxContent>
                    <w:p w14:paraId="2781E905" w14:textId="3D683503" w:rsidR="00945B37" w:rsidRPr="00BF7AB7" w:rsidRDefault="004F4001" w:rsidP="00BF7AB7">
                      <w:pPr>
                        <w:pStyle w:val="Title"/>
                        <w:spacing w:line="276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F7AB7">
                        <w:rPr>
                          <w:b/>
                          <w:sz w:val="36"/>
                          <w:szCs w:val="36"/>
                        </w:rPr>
                        <w:t>Benefits Enrollment for Employees in Same-Sex Marriages</w:t>
                      </w:r>
                    </w:p>
                    <w:p w14:paraId="2B9DD263" w14:textId="382EC40C" w:rsidR="004F4001" w:rsidRPr="004F4001" w:rsidRDefault="004F4001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2"/>
                        </w:rPr>
                      </w:pPr>
                      <w:r w:rsidRPr="004F4001">
                        <w:rPr>
                          <w:sz w:val="22"/>
                        </w:rPr>
                        <w:t>On October 10, a federal court judge overturned North Carolina’s ban on same-sex marriage. We are pleased to announ</w:t>
                      </w:r>
                      <w:r w:rsidR="006F58D2">
                        <w:rPr>
                          <w:sz w:val="22"/>
                        </w:rPr>
                        <w:t>ce that</w:t>
                      </w:r>
                      <w:r w:rsidRPr="004F4001">
                        <w:rPr>
                          <w:sz w:val="22"/>
                        </w:rPr>
                        <w:t xml:space="preserve"> </w:t>
                      </w:r>
                      <w:r w:rsidR="007468F6">
                        <w:rPr>
                          <w:sz w:val="22"/>
                        </w:rPr>
                        <w:t xml:space="preserve">same-sex spouses </w:t>
                      </w:r>
                      <w:r w:rsidR="009F6CD9">
                        <w:rPr>
                          <w:sz w:val="22"/>
                        </w:rPr>
                        <w:t xml:space="preserve">of employees </w:t>
                      </w:r>
                      <w:r w:rsidR="007468F6">
                        <w:rPr>
                          <w:sz w:val="22"/>
                        </w:rPr>
                        <w:t xml:space="preserve">are now eligible for coverage under </w:t>
                      </w:r>
                      <w:r w:rsidRPr="004F4001">
                        <w:rPr>
                          <w:sz w:val="22"/>
                        </w:rPr>
                        <w:t xml:space="preserve">the </w:t>
                      </w:r>
                      <w:r w:rsidR="007468F6">
                        <w:rPr>
                          <w:sz w:val="22"/>
                        </w:rPr>
                        <w:t xml:space="preserve">State Health Plan and NCFlex benefits program. </w:t>
                      </w:r>
                    </w:p>
                    <w:p w14:paraId="609CFA7A" w14:textId="77777777" w:rsidR="004F4001" w:rsidRPr="004F4001" w:rsidRDefault="004F4001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2"/>
                        </w:rPr>
                      </w:pPr>
                    </w:p>
                    <w:p w14:paraId="5CEF28C2" w14:textId="11F13C52" w:rsidR="007468F6" w:rsidRPr="007468F6" w:rsidRDefault="007468F6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color w:val="00535E" w:themeColor="text2"/>
                          <w:sz w:val="28"/>
                          <w:szCs w:val="28"/>
                        </w:rPr>
                      </w:pPr>
                      <w:r w:rsidRPr="007468F6">
                        <w:rPr>
                          <w:b/>
                          <w:color w:val="00535E" w:themeColor="text2"/>
                          <w:sz w:val="28"/>
                          <w:szCs w:val="28"/>
                        </w:rPr>
                        <w:t>What This Means to You</w:t>
                      </w:r>
                    </w:p>
                    <w:p w14:paraId="4593D323" w14:textId="77777777" w:rsidR="007468F6" w:rsidRDefault="007468F6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2"/>
                        </w:rPr>
                      </w:pPr>
                    </w:p>
                    <w:p w14:paraId="06DFDE74" w14:textId="2E22D101" w:rsidR="004F4001" w:rsidRPr="00BF7AB7" w:rsidRDefault="00D7111B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This ruling is considered a qualifying life event. As a result, if you are an eligible e</w:t>
                      </w:r>
                      <w:r w:rsidR="007468F6" w:rsidRPr="004F4001">
                        <w:rPr>
                          <w:sz w:val="22"/>
                        </w:rPr>
                        <w:t xml:space="preserve">mployee </w:t>
                      </w:r>
                      <w:r>
                        <w:rPr>
                          <w:sz w:val="22"/>
                        </w:rPr>
                        <w:t>who w</w:t>
                      </w:r>
                      <w:r w:rsidR="00F22BC5">
                        <w:rPr>
                          <w:sz w:val="22"/>
                        </w:rPr>
                        <w:t>as</w:t>
                      </w:r>
                      <w:r>
                        <w:rPr>
                          <w:sz w:val="22"/>
                        </w:rPr>
                        <w:t xml:space="preserve"> married in North Carolina </w:t>
                      </w:r>
                      <w:r w:rsidR="007468F6" w:rsidRPr="004F4001">
                        <w:rPr>
                          <w:sz w:val="22"/>
                        </w:rPr>
                        <w:t>or another state that recognize</w:t>
                      </w:r>
                      <w:r w:rsidR="00F22BC5">
                        <w:rPr>
                          <w:sz w:val="22"/>
                        </w:rPr>
                        <w:t>d</w:t>
                      </w:r>
                      <w:r w:rsidR="007468F6" w:rsidRPr="004F4001">
                        <w:rPr>
                          <w:sz w:val="22"/>
                        </w:rPr>
                        <w:t xml:space="preserve"> same-sex marriage </w:t>
                      </w:r>
                      <w:r w:rsidR="00F22BC5">
                        <w:rPr>
                          <w:sz w:val="22"/>
                        </w:rPr>
                        <w:t xml:space="preserve">prior to October 13, 2014, you have 30 days </w:t>
                      </w:r>
                      <w:r w:rsidR="009F6CD9">
                        <w:rPr>
                          <w:sz w:val="22"/>
                        </w:rPr>
                        <w:t xml:space="preserve">(until November 11, 2014) </w:t>
                      </w:r>
                      <w:r w:rsidR="00F22BC5">
                        <w:rPr>
                          <w:sz w:val="22"/>
                        </w:rPr>
                        <w:t xml:space="preserve">to </w:t>
                      </w:r>
                      <w:r w:rsidR="004C7C82">
                        <w:rPr>
                          <w:sz w:val="22"/>
                        </w:rPr>
                        <w:t xml:space="preserve">enroll </w:t>
                      </w:r>
                      <w:r w:rsidR="00F22BC5">
                        <w:rPr>
                          <w:sz w:val="22"/>
                        </w:rPr>
                        <w:t>your</w:t>
                      </w:r>
                      <w:r w:rsidR="004C7C82">
                        <w:rPr>
                          <w:sz w:val="22"/>
                        </w:rPr>
                        <w:t xml:space="preserve"> same-sex spouse </w:t>
                      </w:r>
                      <w:r w:rsidR="007468F6">
                        <w:rPr>
                          <w:sz w:val="22"/>
                        </w:rPr>
                        <w:t>for benefits coverage provided through the University</w:t>
                      </w:r>
                      <w:r w:rsidR="007468F6" w:rsidRPr="004F4001">
                        <w:rPr>
                          <w:sz w:val="22"/>
                        </w:rPr>
                        <w:t>.</w:t>
                      </w:r>
                      <w:r w:rsidR="004F4001" w:rsidRPr="004F4001">
                        <w:rPr>
                          <w:sz w:val="22"/>
                        </w:rPr>
                        <w:t xml:space="preserve"> A marriage certificate will be necessary to verify </w:t>
                      </w:r>
                      <w:r w:rsidR="004C7C82">
                        <w:rPr>
                          <w:sz w:val="22"/>
                        </w:rPr>
                        <w:t>your</w:t>
                      </w:r>
                      <w:r w:rsidR="004F4001" w:rsidRPr="004F4001">
                        <w:rPr>
                          <w:sz w:val="22"/>
                        </w:rPr>
                        <w:t xml:space="preserve"> spouse as an eligible member. </w:t>
                      </w:r>
                      <w:r w:rsidR="004C7C82" w:rsidRPr="004C7C82">
                        <w:rPr>
                          <w:b/>
                          <w:sz w:val="22"/>
                        </w:rPr>
                        <w:t>C</w:t>
                      </w:r>
                      <w:r w:rsidR="004F4001" w:rsidRPr="00BF7AB7">
                        <w:rPr>
                          <w:b/>
                          <w:sz w:val="22"/>
                        </w:rPr>
                        <w:t xml:space="preserve">overage </w:t>
                      </w:r>
                      <w:r w:rsidR="004C7C82">
                        <w:rPr>
                          <w:b/>
                          <w:sz w:val="22"/>
                        </w:rPr>
                        <w:t xml:space="preserve">for your spouse </w:t>
                      </w:r>
                      <w:r w:rsidR="004F4001" w:rsidRPr="00BF7AB7">
                        <w:rPr>
                          <w:b/>
                          <w:sz w:val="22"/>
                        </w:rPr>
                        <w:t>will be effective November 1, 2014.</w:t>
                      </w:r>
                      <w:r w:rsidR="009F6CD9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5565BFA9" w14:textId="77777777" w:rsidR="004F4001" w:rsidRPr="004F4001" w:rsidRDefault="004F4001" w:rsidP="00BF7AB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2"/>
                        </w:rPr>
                      </w:pPr>
                    </w:p>
                    <w:p w14:paraId="4D7C0D4D" w14:textId="5F1AE63F" w:rsidR="00945B37" w:rsidRPr="00945B37" w:rsidRDefault="00F22BC5" w:rsidP="00BF7AB7">
                      <w:pPr>
                        <w:rPr>
                          <w:b/>
                          <w:color w:val="00535E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35E" w:themeColor="text2"/>
                          <w:sz w:val="28"/>
                          <w:szCs w:val="28"/>
                        </w:rPr>
                        <w:t>Things to Consider</w:t>
                      </w:r>
                    </w:p>
                    <w:p w14:paraId="705DF5F4" w14:textId="4E929559" w:rsidR="00BF7AB7" w:rsidRPr="00BF7AB7" w:rsidRDefault="00BF7AB7" w:rsidP="009F6CD9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</w:pPr>
                      <w:r w:rsidRPr="00BC735A"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 Benefits.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You can enroll your </w:t>
                      </w:r>
                      <w:r w:rsidR="005A1E28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same-sex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spouse for </w:t>
                      </w:r>
                      <w:r w:rsidRPr="00BC735A"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benefits until October 31. If you have completed your enrollment already, simply update your elections in the system. </w:t>
                      </w:r>
                      <w:r w:rsidR="009F6CD9" w:rsidRPr="009F6CD9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A marriage certificate will be necessary to verify your spouse as an eligible member. </w:t>
                      </w:r>
                      <w:r w:rsidRPr="00BF7AB7"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Deadline: </w:t>
                      </w:r>
                      <w:r w:rsidR="009F6CD9"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>October 31, 2014.</w:t>
                      </w:r>
                    </w:p>
                    <w:p w14:paraId="0CBDBE96" w14:textId="77777777" w:rsidR="00BF7AB7" w:rsidRDefault="00BF7AB7" w:rsidP="009F6CD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</w:pPr>
                    </w:p>
                    <w:p w14:paraId="5FB18F4B" w14:textId="77777777" w:rsidR="00BF7AB7" w:rsidRDefault="00BF7AB7" w:rsidP="009F6CD9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>Beneficiaries.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As you update your benefits, we encourage you to check your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beneficiaries for your life insurance and retirement plans to be sure they are current.</w:t>
                      </w:r>
                    </w:p>
                    <w:p w14:paraId="029AEE89" w14:textId="77777777" w:rsidR="00BF7AB7" w:rsidRDefault="00BF7AB7" w:rsidP="009F6CD9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</w:pPr>
                    </w:p>
                    <w:p w14:paraId="39D3219D" w14:textId="30264C2D" w:rsidR="00BF7AB7" w:rsidRPr="00BC735A" w:rsidRDefault="00BF7AB7" w:rsidP="009F6CD9">
                      <w:pPr>
                        <w:pStyle w:val="NormalWeb"/>
                        <w:numPr>
                          <w:ilvl w:val="0"/>
                          <w:numId w:val="2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</w:pPr>
                      <w:r w:rsidRPr="00390990">
                        <w:rPr>
                          <w:rFonts w:asciiTheme="minorHAnsi" w:hAnsiTheme="minorHAnsi" w:cs="Helvetica"/>
                          <w:b/>
                          <w:color w:val="000000"/>
                          <w:sz w:val="22"/>
                          <w:szCs w:val="22"/>
                        </w:rPr>
                        <w:t>Getting Married in the Future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. If you get married </w:t>
                      </w:r>
                      <w:r w:rsidR="00F22BC5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after October 13, 2014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same-sex 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marriage will continue to be a qualifying life event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You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will have 30 days </w:t>
                      </w:r>
                      <w:r w:rsidR="00D7111B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from the date of the marriage 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to add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your spouse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>your</w:t>
                      </w:r>
                      <w:r w:rsidRPr="00390990">
                        <w:rPr>
                          <w:rFonts w:asciiTheme="minorHAnsi" w:hAnsiTheme="minorHAnsi" w:cs="Helvetica"/>
                          <w:color w:val="000000"/>
                          <w:sz w:val="22"/>
                          <w:szCs w:val="22"/>
                        </w:rPr>
                        <w:t xml:space="preserve"> coverage. The effective date of coverage will be the 1st of the following month.</w:t>
                      </w:r>
                    </w:p>
                    <w:p w14:paraId="1570C9DE" w14:textId="77777777" w:rsidR="00945B37" w:rsidRPr="00945B37" w:rsidRDefault="00945B37" w:rsidP="00945B37">
                      <w:pPr>
                        <w:rPr>
                          <w:b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535E"/>
                        <w:tblCellMar>
                          <w:top w:w="72" w:type="dxa"/>
                          <w:left w:w="216" w:type="dxa"/>
                          <w:bottom w:w="72" w:type="dxa"/>
                          <w:right w:w="21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02"/>
                      </w:tblGrid>
                      <w:tr w:rsidR="00BF7AB7" w:rsidRPr="00FD2E9E" w14:paraId="71996901" w14:textId="77777777" w:rsidTr="006F58D2">
                        <w:tc>
                          <w:tcPr>
                            <w:tcW w:w="10522" w:type="dxa"/>
                            <w:shd w:val="clear" w:color="auto" w:fill="00535E"/>
                          </w:tcPr>
                          <w:p w14:paraId="7E2974AE" w14:textId="77777777" w:rsidR="00BF7AB7" w:rsidRPr="00D16383" w:rsidRDefault="00BF7AB7" w:rsidP="00AC3EEF">
                            <w:pPr>
                              <w:pStyle w:val="Callouthead-white"/>
                              <w:spacing w:before="120"/>
                            </w:pPr>
                            <w:r w:rsidRPr="00D16383">
                              <w:t>One-Stop Enrollment</w:t>
                            </w:r>
                          </w:p>
                          <w:p w14:paraId="176E22F6" w14:textId="20241CCD" w:rsidR="00BF7AB7" w:rsidRDefault="00BF7AB7" w:rsidP="00AC3EEF">
                            <w:pPr>
                              <w:pStyle w:val="body"/>
                              <w:rPr>
                                <w:szCs w:val="20"/>
                              </w:rPr>
                            </w:pPr>
                            <w:r w:rsidRPr="003E3593">
                              <w:rPr>
                                <w:szCs w:val="20"/>
                              </w:rPr>
                              <w:t xml:space="preserve">Log on to </w:t>
                            </w:r>
                            <w:hyperlink r:id="rId7" w:history="1">
                              <w:r w:rsidRPr="003E3593">
                                <w:rPr>
                                  <w:b/>
                                  <w:szCs w:val="20"/>
                                  <w:u w:val="single"/>
                                </w:rPr>
                                <w:t>https://shp-login.hrintouch.com</w:t>
                              </w:r>
                            </w:hyperlink>
                            <w:r w:rsidRPr="003E3593">
                              <w:rPr>
                                <w:szCs w:val="20"/>
                              </w:rPr>
                              <w:t xml:space="preserve"> to enroll or make changes to your benefit elections.</w:t>
                            </w:r>
                            <w:r>
                              <w:rPr>
                                <w:szCs w:val="20"/>
                              </w:rPr>
                              <w:t xml:space="preserve"> You can enroll in or update the following benefits:</w:t>
                            </w:r>
                          </w:p>
                          <w:tbl>
                            <w:tblPr>
                              <w:tblStyle w:val="TableGrid"/>
                              <w:tblW w:w="10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0"/>
                              <w:gridCol w:w="3390"/>
                              <w:gridCol w:w="3390"/>
                            </w:tblGrid>
                            <w:tr w:rsidR="00BF7AB7" w14:paraId="71B758A9" w14:textId="77777777" w:rsidTr="006F58D2">
                              <w:tc>
                                <w:tcPr>
                                  <w:tcW w:w="3390" w:type="dxa"/>
                                </w:tcPr>
                                <w:p w14:paraId="773FF27C" w14:textId="77777777" w:rsidR="00BF7AB7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Health</w:t>
                                  </w:r>
                                </w:p>
                                <w:p w14:paraId="6B4664F2" w14:textId="77777777" w:rsidR="00BF7AB7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Dental</w:t>
                                  </w:r>
                                </w:p>
                                <w:p w14:paraId="069B9952" w14:textId="77777777" w:rsidR="00BF7AB7" w:rsidRPr="00D16383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Vision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1A558694" w14:textId="77777777" w:rsidR="00BF7AB7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Cancer</w:t>
                                  </w:r>
                                </w:p>
                                <w:p w14:paraId="5E18A08C" w14:textId="77777777" w:rsidR="00BF7AB7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Critical Illness</w:t>
                                  </w:r>
                                </w:p>
                                <w:p w14:paraId="71D41151" w14:textId="77777777" w:rsidR="00BF7AB7" w:rsidRPr="00D16383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Core AD&amp;D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14:paraId="6FA9574B" w14:textId="7CB28E94" w:rsidR="00BF7AB7" w:rsidRPr="00D16383" w:rsidRDefault="00AA389B" w:rsidP="00AA389B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92"/>
                                    </w:tabs>
                                    <w:ind w:left="261" w:hanging="27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G</w:t>
                                  </w:r>
                                  <w:r w:rsidR="00BF7AB7">
                                    <w:rPr>
                                      <w:szCs w:val="20"/>
                                    </w:rPr>
                                    <w:t>roup Term Life</w:t>
                                  </w:r>
                                </w:p>
                                <w:p w14:paraId="4E86D6A6" w14:textId="77777777" w:rsidR="00BF7AB7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195" w:hanging="195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Voluntary AD&amp;D</w:t>
                                  </w:r>
                                </w:p>
                                <w:p w14:paraId="25E588A1" w14:textId="77777777" w:rsidR="00BF7AB7" w:rsidRPr="00D16383" w:rsidRDefault="00BF7AB7" w:rsidP="00BF7AB7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ind w:left="195" w:hanging="195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Flexible Spending Accounts</w:t>
                                  </w:r>
                                </w:p>
                              </w:tc>
                            </w:tr>
                          </w:tbl>
                          <w:p w14:paraId="21D132DF" w14:textId="77777777" w:rsidR="00BF7AB7" w:rsidRPr="00FD2E9E" w:rsidRDefault="00BF7AB7" w:rsidP="00AC3EEF">
                            <w:pPr>
                              <w:pStyle w:val="body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61F15EFB" w14:textId="77777777" w:rsidR="00945B37" w:rsidRDefault="00945B37" w:rsidP="00945B37"/>
                    <w:p w14:paraId="03D5A9C4" w14:textId="77777777" w:rsidR="00945B37" w:rsidRDefault="00945B37" w:rsidP="00945B37"/>
                    <w:p w14:paraId="2675846C" w14:textId="77777777" w:rsidR="00945B37" w:rsidRDefault="00945B37"/>
                  </w:txbxContent>
                </v:textbox>
              </v:shape>
            </w:pict>
          </mc:Fallback>
        </mc:AlternateContent>
      </w:r>
    </w:p>
    <w:sectPr w:rsidR="00AD1BA2" w:rsidRPr="006614F1" w:rsidSect="000914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3C2C"/>
    <w:multiLevelType w:val="multilevel"/>
    <w:tmpl w:val="D1A8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967"/>
    <w:multiLevelType w:val="hybridMultilevel"/>
    <w:tmpl w:val="B5C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CEC536B"/>
    <w:multiLevelType w:val="hybridMultilevel"/>
    <w:tmpl w:val="DCC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00B"/>
    <w:multiLevelType w:val="hybridMultilevel"/>
    <w:tmpl w:val="EA2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C68"/>
    <w:multiLevelType w:val="hybridMultilevel"/>
    <w:tmpl w:val="2F0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2ECF09A8"/>
    <w:multiLevelType w:val="hybridMultilevel"/>
    <w:tmpl w:val="5C1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623C"/>
    <w:multiLevelType w:val="hybridMultilevel"/>
    <w:tmpl w:val="D1A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239F1"/>
    <w:multiLevelType w:val="hybridMultilevel"/>
    <w:tmpl w:val="38D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C196F"/>
    <w:multiLevelType w:val="hybridMultilevel"/>
    <w:tmpl w:val="CBC28DA4"/>
    <w:lvl w:ilvl="0" w:tplc="73BC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049"/>
    <w:multiLevelType w:val="hybridMultilevel"/>
    <w:tmpl w:val="504AAEE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43083A21"/>
    <w:multiLevelType w:val="hybridMultilevel"/>
    <w:tmpl w:val="75BC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C092C"/>
    <w:multiLevelType w:val="hybridMultilevel"/>
    <w:tmpl w:val="235CC6EC"/>
    <w:lvl w:ilvl="0" w:tplc="D13EF0F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3BA"/>
    <w:multiLevelType w:val="hybridMultilevel"/>
    <w:tmpl w:val="E51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95E5B"/>
    <w:multiLevelType w:val="hybridMultilevel"/>
    <w:tmpl w:val="2F9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308E"/>
    <w:multiLevelType w:val="hybridMultilevel"/>
    <w:tmpl w:val="EB34E716"/>
    <w:lvl w:ilvl="0" w:tplc="CA604A1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2D6E7E"/>
    <w:multiLevelType w:val="hybridMultilevel"/>
    <w:tmpl w:val="EB7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7B3864AA"/>
    <w:multiLevelType w:val="hybridMultilevel"/>
    <w:tmpl w:val="B3E8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26A48"/>
    <w:multiLevelType w:val="hybridMultilevel"/>
    <w:tmpl w:val="527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23678"/>
    <w:multiLevelType w:val="hybridMultilevel"/>
    <w:tmpl w:val="D69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5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3"/>
    <w:rsid w:val="00054A17"/>
    <w:rsid w:val="00070667"/>
    <w:rsid w:val="00091423"/>
    <w:rsid w:val="000B6423"/>
    <w:rsid w:val="000D11B8"/>
    <w:rsid w:val="00110251"/>
    <w:rsid w:val="001337B6"/>
    <w:rsid w:val="001A4053"/>
    <w:rsid w:val="001C4EA6"/>
    <w:rsid w:val="0020688A"/>
    <w:rsid w:val="00211FC4"/>
    <w:rsid w:val="0022427D"/>
    <w:rsid w:val="00247D4B"/>
    <w:rsid w:val="00273956"/>
    <w:rsid w:val="00273D69"/>
    <w:rsid w:val="002751B0"/>
    <w:rsid w:val="003C5B57"/>
    <w:rsid w:val="003E0912"/>
    <w:rsid w:val="004B5D17"/>
    <w:rsid w:val="004C594C"/>
    <w:rsid w:val="004C7C82"/>
    <w:rsid w:val="004F4001"/>
    <w:rsid w:val="00500CF0"/>
    <w:rsid w:val="00510419"/>
    <w:rsid w:val="00541B07"/>
    <w:rsid w:val="00577C94"/>
    <w:rsid w:val="005913F0"/>
    <w:rsid w:val="005A1E28"/>
    <w:rsid w:val="005F153D"/>
    <w:rsid w:val="00651259"/>
    <w:rsid w:val="006614F1"/>
    <w:rsid w:val="00662D35"/>
    <w:rsid w:val="00693D0E"/>
    <w:rsid w:val="006B2400"/>
    <w:rsid w:val="006F58D2"/>
    <w:rsid w:val="007468F6"/>
    <w:rsid w:val="007D6A6D"/>
    <w:rsid w:val="0088594A"/>
    <w:rsid w:val="008D3037"/>
    <w:rsid w:val="008D377A"/>
    <w:rsid w:val="008E3C03"/>
    <w:rsid w:val="008E65A5"/>
    <w:rsid w:val="0092695B"/>
    <w:rsid w:val="009321C0"/>
    <w:rsid w:val="00945B37"/>
    <w:rsid w:val="009B748E"/>
    <w:rsid w:val="009F6CD9"/>
    <w:rsid w:val="00A15385"/>
    <w:rsid w:val="00A34AFB"/>
    <w:rsid w:val="00A62DA4"/>
    <w:rsid w:val="00AA389B"/>
    <w:rsid w:val="00AD1BA2"/>
    <w:rsid w:val="00AF05E8"/>
    <w:rsid w:val="00B21695"/>
    <w:rsid w:val="00B81821"/>
    <w:rsid w:val="00BE0CC6"/>
    <w:rsid w:val="00BF7AB7"/>
    <w:rsid w:val="00C20B3B"/>
    <w:rsid w:val="00C622B2"/>
    <w:rsid w:val="00C75ABF"/>
    <w:rsid w:val="00CB2E7B"/>
    <w:rsid w:val="00D7111B"/>
    <w:rsid w:val="00DA7847"/>
    <w:rsid w:val="00DB17D1"/>
    <w:rsid w:val="00DC4181"/>
    <w:rsid w:val="00DC5288"/>
    <w:rsid w:val="00DE39DD"/>
    <w:rsid w:val="00E800DD"/>
    <w:rsid w:val="00E806A1"/>
    <w:rsid w:val="00F22BC5"/>
    <w:rsid w:val="00F36DA1"/>
    <w:rsid w:val="00F50DD5"/>
    <w:rsid w:val="00F659A0"/>
    <w:rsid w:val="00F8213B"/>
    <w:rsid w:val="00FD2E9E"/>
    <w:rsid w:val="00FD70A0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0502"/>
  <w15:docId w15:val="{B40F20C8-FDE2-4C66-91C0-ADD868D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535E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7B6"/>
    <w:pPr>
      <w:spacing w:before="240" w:after="0" w:line="240" w:lineRule="auto"/>
      <w:outlineLvl w:val="1"/>
    </w:pPr>
    <w:rPr>
      <w:caps/>
      <w:color w:val="00535E" w:themeColor="text2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94A"/>
    <w:pPr>
      <w:outlineLvl w:val="2"/>
    </w:pPr>
    <w:rPr>
      <w:b/>
      <w:caps w:val="0"/>
      <w:color w:val="4BACC6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3D0E"/>
    <w:rPr>
      <w:rFonts w:asciiTheme="majorHAnsi" w:eastAsiaTheme="majorEastAsia" w:hAnsiTheme="majorHAnsi" w:cstheme="majorBidi"/>
      <w:b/>
      <w:bCs/>
      <w:color w:val="00535E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3D0E"/>
    <w:pPr>
      <w:spacing w:after="300" w:line="240" w:lineRule="auto"/>
      <w:contextualSpacing/>
    </w:pPr>
    <w:rPr>
      <w:rFonts w:asciiTheme="majorHAnsi" w:eastAsia="MS PGothic" w:hAnsiTheme="majorHAnsi" w:cstheme="majorBidi"/>
      <w:color w:val="00535E" w:themeColor="text2"/>
      <w:spacing w:val="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93D0E"/>
    <w:rPr>
      <w:rFonts w:asciiTheme="majorHAnsi" w:eastAsia="MS PGothic" w:hAnsiTheme="majorHAnsi" w:cstheme="majorBidi"/>
      <w:color w:val="00535E" w:themeColor="text2"/>
      <w:spacing w:val="5"/>
      <w:kern w:val="28"/>
      <w:sz w:val="68"/>
      <w:szCs w:val="6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37B6"/>
    <w:rPr>
      <w:rFonts w:ascii="Arial" w:hAnsi="Arial"/>
      <w:caps/>
      <w:color w:val="00535E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E394A"/>
    <w:rPr>
      <w:rFonts w:ascii="Arial" w:hAnsi="Arial"/>
      <w:b/>
      <w:color w:val="4BACC6" w:themeColor="accent1"/>
      <w:sz w:val="20"/>
    </w:rPr>
  </w:style>
  <w:style w:type="paragraph" w:customStyle="1" w:styleId="body">
    <w:name w:val="body"/>
    <w:basedOn w:val="Normal"/>
    <w:qFormat/>
    <w:rsid w:val="00693D0E"/>
    <w:pPr>
      <w:spacing w:before="120" w:after="120" w:line="288" w:lineRule="auto"/>
    </w:pPr>
  </w:style>
  <w:style w:type="paragraph" w:styleId="ListParagraph">
    <w:name w:val="List Paragraph"/>
    <w:basedOn w:val="Normal"/>
    <w:uiPriority w:val="34"/>
    <w:qFormat/>
    <w:rsid w:val="00693D0E"/>
    <w:pPr>
      <w:ind w:left="720"/>
      <w:contextualSpacing/>
    </w:pPr>
  </w:style>
  <w:style w:type="paragraph" w:customStyle="1" w:styleId="bullets">
    <w:name w:val="bullets"/>
    <w:basedOn w:val="body"/>
    <w:qFormat/>
    <w:rsid w:val="00E806A1"/>
    <w:pPr>
      <w:numPr>
        <w:numId w:val="2"/>
      </w:numPr>
    </w:pPr>
  </w:style>
  <w:style w:type="paragraph" w:customStyle="1" w:styleId="introcopy">
    <w:name w:val="intro copy"/>
    <w:basedOn w:val="Normal"/>
    <w:qFormat/>
    <w:rsid w:val="00E806A1"/>
    <w:pPr>
      <w:spacing w:after="0" w:line="240" w:lineRule="auto"/>
    </w:pPr>
    <w:rPr>
      <w:color w:val="00535E" w:themeColor="text2"/>
      <w:sz w:val="32"/>
      <w:szCs w:val="32"/>
    </w:rPr>
  </w:style>
  <w:style w:type="paragraph" w:customStyle="1" w:styleId="Callouthead-white">
    <w:name w:val="Callout head-white"/>
    <w:basedOn w:val="Normal"/>
    <w:qFormat/>
    <w:rsid w:val="00C75ABF"/>
    <w:pPr>
      <w:spacing w:before="240" w:after="120" w:line="240" w:lineRule="auto"/>
    </w:pPr>
    <w:rPr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7B6"/>
    <w:rPr>
      <w:color w:val="00535E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5E8"/>
    <w:rPr>
      <w:color w:val="4BACC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4F1"/>
    <w:pPr>
      <w:spacing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4F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F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p-login.hrintou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p-login.hrintouc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NC">
      <a:dk1>
        <a:sysClr val="windowText" lastClr="000000"/>
      </a:dk1>
      <a:lt1>
        <a:sysClr val="window" lastClr="FFFFFF"/>
      </a:lt1>
      <a:dk2>
        <a:srgbClr val="00535E"/>
      </a:dk2>
      <a:lt2>
        <a:srgbClr val="EEECE1"/>
      </a:lt2>
      <a:accent1>
        <a:srgbClr val="4BACC6"/>
      </a:accent1>
      <a:accent2>
        <a:srgbClr val="B7DDE8"/>
      </a:accent2>
      <a:accent3>
        <a:srgbClr val="C4BD97"/>
      </a:accent3>
      <a:accent4>
        <a:srgbClr val="C4BD97"/>
      </a:accent4>
      <a:accent5>
        <a:srgbClr val="BFBFBF"/>
      </a:accent5>
      <a:accent6>
        <a:srgbClr val="7F7F7F"/>
      </a:accent6>
      <a:hlink>
        <a:srgbClr val="4BACC6"/>
      </a:hlink>
      <a:folHlink>
        <a:srgbClr val="4BACC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XH3YM9N</dc:creator>
  <cp:lastModifiedBy>Vicki Knaack</cp:lastModifiedBy>
  <cp:revision>2</cp:revision>
  <cp:lastPrinted>2014-10-05T17:17:00Z</cp:lastPrinted>
  <dcterms:created xsi:type="dcterms:W3CDTF">2014-10-20T14:13:00Z</dcterms:created>
  <dcterms:modified xsi:type="dcterms:W3CDTF">2014-10-20T14:13:00Z</dcterms:modified>
</cp:coreProperties>
</file>