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8F" w:rsidRDefault="00ED7D8D"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6B218F" w:rsidRDefault="006B218F" w:rsidP="00595C61">
      <w:pPr>
        <w:jc w:val="center"/>
      </w:pPr>
    </w:p>
    <w:p w:rsidR="006B218F" w:rsidRPr="003A0528" w:rsidRDefault="006B218F" w:rsidP="00595C61">
      <w:pPr>
        <w:jc w:val="center"/>
        <w:rPr>
          <w:b/>
          <w:color w:val="0000FF"/>
          <w:sz w:val="32"/>
          <w:szCs w:val="32"/>
        </w:rPr>
      </w:pPr>
      <w:r>
        <w:rPr>
          <w:b/>
          <w:color w:val="0000FF"/>
          <w:sz w:val="32"/>
          <w:szCs w:val="32"/>
        </w:rPr>
        <w:t>MINUTES</w:t>
      </w:r>
    </w:p>
    <w:p w:rsidR="006B218F" w:rsidRPr="003A0528" w:rsidRDefault="006B218F" w:rsidP="00595C61">
      <w:pPr>
        <w:jc w:val="center"/>
        <w:rPr>
          <w:color w:val="0000FF"/>
        </w:rPr>
      </w:pPr>
    </w:p>
    <w:p w:rsidR="006B218F" w:rsidRPr="003A0528" w:rsidRDefault="007573E6" w:rsidP="00595C61">
      <w:pPr>
        <w:tabs>
          <w:tab w:val="left" w:pos="1980"/>
        </w:tabs>
        <w:jc w:val="center"/>
        <w:rPr>
          <w:b/>
          <w:bCs/>
          <w:color w:val="0000FF"/>
        </w:rPr>
      </w:pPr>
      <w:r>
        <w:rPr>
          <w:b/>
          <w:bCs/>
          <w:color w:val="0000FF"/>
        </w:rPr>
        <w:t>August 3</w:t>
      </w:r>
      <w:r w:rsidR="00D03A4E">
        <w:rPr>
          <w:b/>
          <w:bCs/>
          <w:color w:val="0000FF"/>
        </w:rPr>
        <w:t>, 2010, 10:0</w:t>
      </w:r>
      <w:r w:rsidR="006B218F">
        <w:rPr>
          <w:b/>
          <w:bCs/>
          <w:color w:val="0000FF"/>
        </w:rPr>
        <w:t>0a.m. -12:00 p</w:t>
      </w:r>
      <w:r w:rsidR="006B218F" w:rsidRPr="003A0528">
        <w:rPr>
          <w:b/>
          <w:bCs/>
          <w:color w:val="0000FF"/>
        </w:rPr>
        <w:t>.m.</w:t>
      </w:r>
    </w:p>
    <w:p w:rsidR="006B218F" w:rsidRDefault="006B218F"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91427C" w:rsidRDefault="008F707F" w:rsidP="007573E6">
            <w:pPr>
              <w:rPr>
                <w:sz w:val="20"/>
                <w:szCs w:val="20"/>
              </w:rPr>
            </w:pPr>
            <w:r>
              <w:rPr>
                <w:sz w:val="20"/>
                <w:szCs w:val="20"/>
              </w:rPr>
              <w:t xml:space="preserve">Beth Lofquist, Helen Freeman, </w:t>
            </w:r>
            <w:r w:rsidR="004925E9">
              <w:rPr>
                <w:sz w:val="20"/>
                <w:szCs w:val="20"/>
              </w:rPr>
              <w:t>Regis Gilman, Perry Schoon, Linda Stanford, Louis Buck, Brian Railsback, Dana Sally, Bob McMahan, Robert Kehrberg, Wendy Ford, Scott Higgins,</w:t>
            </w:r>
          </w:p>
          <w:p w:rsidR="004925E9" w:rsidRPr="009B07D5" w:rsidRDefault="004925E9" w:rsidP="007573E6">
            <w:pPr>
              <w:rPr>
                <w:sz w:val="20"/>
                <w:szCs w:val="20"/>
              </w:rPr>
            </w:pPr>
          </w:p>
        </w:tc>
      </w:tr>
      <w:tr w:rsidR="00982BCD" w:rsidTr="009B07D5">
        <w:tc>
          <w:tcPr>
            <w:tcW w:w="2088" w:type="dxa"/>
          </w:tcPr>
          <w:p w:rsidR="00982BCD" w:rsidRPr="009B07D5" w:rsidRDefault="00982BCD" w:rsidP="009B07D5">
            <w:pPr>
              <w:tabs>
                <w:tab w:val="left" w:pos="1980"/>
                <w:tab w:val="left" w:pos="2160"/>
              </w:tabs>
              <w:rPr>
                <w:b/>
                <w:color w:val="0000FF"/>
                <w:sz w:val="20"/>
                <w:szCs w:val="20"/>
              </w:rPr>
            </w:pPr>
            <w:r>
              <w:rPr>
                <w:b/>
                <w:color w:val="0000FF"/>
                <w:sz w:val="20"/>
                <w:szCs w:val="20"/>
              </w:rPr>
              <w:t>Guests</w:t>
            </w:r>
          </w:p>
        </w:tc>
        <w:tc>
          <w:tcPr>
            <w:tcW w:w="6768" w:type="dxa"/>
          </w:tcPr>
          <w:p w:rsidR="0091427C" w:rsidRDefault="004925E9" w:rsidP="007573E6">
            <w:pPr>
              <w:tabs>
                <w:tab w:val="right" w:pos="480"/>
                <w:tab w:val="left" w:pos="720"/>
              </w:tabs>
              <w:rPr>
                <w:sz w:val="20"/>
                <w:szCs w:val="20"/>
              </w:rPr>
            </w:pPr>
            <w:r>
              <w:rPr>
                <w:sz w:val="20"/>
                <w:szCs w:val="20"/>
              </w:rPr>
              <w:t>Melissa Wargo</w:t>
            </w:r>
          </w:p>
          <w:p w:rsidR="004925E9" w:rsidRPr="009B07D5" w:rsidRDefault="004925E9" w:rsidP="007573E6">
            <w:pPr>
              <w:tabs>
                <w:tab w:val="right" w:pos="480"/>
                <w:tab w:val="left" w:pos="720"/>
              </w:tabs>
              <w:rPr>
                <w:sz w:val="20"/>
                <w:szCs w:val="20"/>
              </w:rPr>
            </w:pPr>
          </w:p>
        </w:tc>
      </w:tr>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6B218F" w:rsidRDefault="008F6D25" w:rsidP="009B07D5">
            <w:pPr>
              <w:tabs>
                <w:tab w:val="left" w:pos="1980"/>
                <w:tab w:val="left" w:pos="2160"/>
              </w:tabs>
              <w:rPr>
                <w:sz w:val="20"/>
                <w:szCs w:val="20"/>
              </w:rPr>
            </w:pPr>
            <w:r>
              <w:rPr>
                <w:sz w:val="20"/>
                <w:szCs w:val="20"/>
              </w:rPr>
              <w:t>Anne Aldrich</w:t>
            </w:r>
          </w:p>
          <w:p w:rsidR="00D04163" w:rsidRPr="009B07D5" w:rsidRDefault="00D04163" w:rsidP="009B07D5">
            <w:pPr>
              <w:tabs>
                <w:tab w:val="left" w:pos="1980"/>
                <w:tab w:val="left" w:pos="2160"/>
              </w:tabs>
              <w:rPr>
                <w:sz w:val="20"/>
                <w:szCs w:val="20"/>
              </w:rPr>
            </w:pPr>
          </w:p>
        </w:tc>
      </w:tr>
    </w:tbl>
    <w:p w:rsidR="006B218F" w:rsidRDefault="006B218F" w:rsidP="00595C61">
      <w:pPr>
        <w:tabs>
          <w:tab w:val="left" w:pos="1980"/>
          <w:tab w:val="left" w:pos="2160"/>
        </w:tabs>
        <w:jc w:val="center"/>
        <w:rPr>
          <w:color w:val="333399"/>
        </w:rPr>
      </w:pPr>
    </w:p>
    <w:p w:rsidR="006B218F" w:rsidRPr="007B27FE" w:rsidRDefault="006B218F" w:rsidP="00595C61">
      <w:pPr>
        <w:tabs>
          <w:tab w:val="left" w:pos="1980"/>
          <w:tab w:val="left" w:pos="2160"/>
        </w:tabs>
        <w:rPr>
          <w:b/>
          <w:color w:val="0000FF"/>
          <w:sz w:val="20"/>
          <w:szCs w:val="20"/>
        </w:rPr>
      </w:pPr>
      <w:r>
        <w:rPr>
          <w:b/>
          <w:color w:val="0000FF"/>
          <w:sz w:val="20"/>
          <w:szCs w:val="20"/>
        </w:rPr>
        <w:t>ANNOUNCEMENTS/INFORMATION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21024A" w:rsidTr="009B07D5">
        <w:tc>
          <w:tcPr>
            <w:tcW w:w="2088" w:type="dxa"/>
          </w:tcPr>
          <w:p w:rsidR="0021024A" w:rsidRDefault="005759AC" w:rsidP="00595C61">
            <w:pPr>
              <w:rPr>
                <w:b/>
                <w:color w:val="0000FF"/>
                <w:sz w:val="20"/>
                <w:szCs w:val="20"/>
              </w:rPr>
            </w:pPr>
            <w:r>
              <w:rPr>
                <w:b/>
                <w:color w:val="0000FF"/>
                <w:sz w:val="20"/>
                <w:szCs w:val="20"/>
              </w:rPr>
              <w:t>BOT Breakfast Program</w:t>
            </w:r>
          </w:p>
          <w:p w:rsidR="005759AC" w:rsidRPr="009B07D5" w:rsidRDefault="005759AC" w:rsidP="00595C61">
            <w:pPr>
              <w:rPr>
                <w:b/>
                <w:color w:val="0000FF"/>
                <w:sz w:val="20"/>
                <w:szCs w:val="20"/>
              </w:rPr>
            </w:pPr>
            <w:r>
              <w:rPr>
                <w:b/>
                <w:color w:val="0000FF"/>
                <w:sz w:val="20"/>
                <w:szCs w:val="20"/>
              </w:rPr>
              <w:t>(Linda)</w:t>
            </w:r>
          </w:p>
        </w:tc>
        <w:tc>
          <w:tcPr>
            <w:tcW w:w="6768" w:type="dxa"/>
          </w:tcPr>
          <w:p w:rsidR="005759AC" w:rsidRDefault="005759AC" w:rsidP="005759AC">
            <w:pPr>
              <w:tabs>
                <w:tab w:val="right" w:pos="480"/>
                <w:tab w:val="left" w:pos="720"/>
              </w:tabs>
              <w:rPr>
                <w:bCs/>
                <w:sz w:val="20"/>
                <w:szCs w:val="20"/>
              </w:rPr>
            </w:pPr>
            <w:r>
              <w:rPr>
                <w:bCs/>
                <w:sz w:val="20"/>
                <w:szCs w:val="20"/>
              </w:rPr>
              <w:t xml:space="preserve">Wendy will let Linda know about the video Mark </w:t>
            </w:r>
            <w:proofErr w:type="spellStart"/>
            <w:r w:rsidR="001360BE">
              <w:rPr>
                <w:bCs/>
                <w:sz w:val="20"/>
                <w:szCs w:val="20"/>
              </w:rPr>
              <w:t>Mattheis</w:t>
            </w:r>
            <w:proofErr w:type="spellEnd"/>
            <w:r w:rsidR="001360BE">
              <w:rPr>
                <w:bCs/>
                <w:sz w:val="20"/>
                <w:szCs w:val="20"/>
              </w:rPr>
              <w:t xml:space="preserve"> </w:t>
            </w:r>
            <w:r>
              <w:rPr>
                <w:bCs/>
                <w:sz w:val="20"/>
                <w:szCs w:val="20"/>
              </w:rPr>
              <w:t>is working on as soon as she is able to meet with him.  This could possibly be our BOT program for December 1</w:t>
            </w:r>
            <w:r w:rsidRPr="005759AC">
              <w:rPr>
                <w:bCs/>
                <w:sz w:val="20"/>
                <w:szCs w:val="20"/>
                <w:vertAlign w:val="superscript"/>
              </w:rPr>
              <w:t>st</w:t>
            </w:r>
            <w:r>
              <w:rPr>
                <w:bCs/>
                <w:sz w:val="20"/>
                <w:szCs w:val="20"/>
              </w:rPr>
              <w:t>.</w:t>
            </w:r>
          </w:p>
          <w:p w:rsidR="00D71734" w:rsidRPr="00D71734" w:rsidRDefault="00D71734" w:rsidP="00833F77">
            <w:pPr>
              <w:tabs>
                <w:tab w:val="right" w:pos="480"/>
                <w:tab w:val="left" w:pos="720"/>
              </w:tabs>
              <w:rPr>
                <w:bCs/>
                <w:sz w:val="20"/>
                <w:szCs w:val="20"/>
              </w:rPr>
            </w:pPr>
          </w:p>
        </w:tc>
      </w:tr>
      <w:tr w:rsidR="00D71734" w:rsidTr="009B07D5">
        <w:tc>
          <w:tcPr>
            <w:tcW w:w="2088" w:type="dxa"/>
          </w:tcPr>
          <w:p w:rsidR="00D71734" w:rsidRDefault="005759AC" w:rsidP="00595C61">
            <w:pPr>
              <w:rPr>
                <w:b/>
                <w:color w:val="0000FF"/>
                <w:sz w:val="20"/>
                <w:szCs w:val="20"/>
              </w:rPr>
            </w:pPr>
            <w:r>
              <w:rPr>
                <w:b/>
                <w:color w:val="0000FF"/>
                <w:sz w:val="20"/>
                <w:szCs w:val="20"/>
              </w:rPr>
              <w:t xml:space="preserve">Strategic Planning </w:t>
            </w:r>
          </w:p>
        </w:tc>
        <w:tc>
          <w:tcPr>
            <w:tcW w:w="6768" w:type="dxa"/>
          </w:tcPr>
          <w:p w:rsidR="007C6C3B" w:rsidRDefault="007C6C3B" w:rsidP="007C6C3B">
            <w:pPr>
              <w:tabs>
                <w:tab w:val="right" w:pos="480"/>
                <w:tab w:val="left" w:pos="720"/>
              </w:tabs>
              <w:rPr>
                <w:bCs/>
                <w:sz w:val="20"/>
                <w:szCs w:val="20"/>
              </w:rPr>
            </w:pPr>
            <w:r>
              <w:rPr>
                <w:bCs/>
                <w:sz w:val="20"/>
                <w:szCs w:val="20"/>
              </w:rPr>
              <w:t>The chancellor will review our plan in a meeting this afternoon – Melissa and Linda will roll out</w:t>
            </w:r>
            <w:r w:rsidR="001360BE">
              <w:rPr>
                <w:bCs/>
                <w:sz w:val="20"/>
                <w:szCs w:val="20"/>
              </w:rPr>
              <w:t xml:space="preserve"> the</w:t>
            </w:r>
            <w:r>
              <w:rPr>
                <w:bCs/>
                <w:sz w:val="20"/>
                <w:szCs w:val="20"/>
              </w:rPr>
              <w:t xml:space="preserve"> plan today and ask for input.</w:t>
            </w:r>
          </w:p>
          <w:p w:rsidR="00D71734" w:rsidRPr="00D71734" w:rsidRDefault="00D71734" w:rsidP="00833F77">
            <w:pPr>
              <w:tabs>
                <w:tab w:val="right" w:pos="480"/>
                <w:tab w:val="left" w:pos="720"/>
              </w:tabs>
              <w:rPr>
                <w:bCs/>
                <w:sz w:val="20"/>
                <w:szCs w:val="20"/>
              </w:rPr>
            </w:pPr>
          </w:p>
        </w:tc>
      </w:tr>
    </w:tbl>
    <w:p w:rsidR="006B218F" w:rsidRDefault="006B218F" w:rsidP="00595C61"/>
    <w:p w:rsidR="006B218F" w:rsidRDefault="00150658" w:rsidP="00595C61">
      <w:pPr>
        <w:rPr>
          <w:b/>
          <w:color w:val="0000FF"/>
          <w:sz w:val="20"/>
          <w:szCs w:val="20"/>
        </w:rPr>
      </w:pPr>
      <w:r>
        <w:rPr>
          <w:b/>
          <w:color w:val="0000FF"/>
          <w:sz w:val="20"/>
          <w:szCs w:val="20"/>
        </w:rPr>
        <w:t>DEAN’S ROUNDTABLE</w:t>
      </w:r>
    </w:p>
    <w:p w:rsidR="005E407F" w:rsidRPr="005E407F" w:rsidRDefault="005E407F" w:rsidP="00595C61">
      <w:pPr>
        <w:rPr>
          <w:sz w:val="20"/>
          <w:szCs w:val="20"/>
        </w:rPr>
      </w:pPr>
      <w:r>
        <w:rPr>
          <w:sz w:val="20"/>
          <w:szCs w:val="20"/>
        </w:rPr>
        <w:t>There are no items.</w:t>
      </w:r>
    </w:p>
    <w:p w:rsidR="00303EEA" w:rsidRDefault="00303EEA" w:rsidP="00595C61">
      <w:pPr>
        <w:rPr>
          <w:sz w:val="20"/>
          <w:szCs w:val="20"/>
        </w:rPr>
      </w:pPr>
    </w:p>
    <w:p w:rsidR="001227B3" w:rsidRDefault="001227B3" w:rsidP="00595C61">
      <w:pPr>
        <w:rPr>
          <w:b/>
          <w:color w:val="0000FF"/>
          <w:sz w:val="20"/>
          <w:szCs w:val="20"/>
        </w:rPr>
      </w:pPr>
      <w:r>
        <w:rPr>
          <w:b/>
          <w:color w:val="0000FF"/>
          <w:sz w:val="20"/>
          <w:szCs w:val="20"/>
        </w:rPr>
        <w:t xml:space="preserve">TASK INTRODUCTION AND DISPOSITION </w:t>
      </w:r>
    </w:p>
    <w:p w:rsidR="006F5F97" w:rsidRPr="005E407F" w:rsidRDefault="006F5F97" w:rsidP="006F5F97">
      <w:pPr>
        <w:rPr>
          <w:sz w:val="20"/>
          <w:szCs w:val="20"/>
        </w:rPr>
      </w:pPr>
      <w:r>
        <w:rPr>
          <w:sz w:val="20"/>
          <w:szCs w:val="20"/>
        </w:rPr>
        <w:t>There are no items.</w:t>
      </w:r>
    </w:p>
    <w:p w:rsidR="001227B3" w:rsidRPr="001227B3" w:rsidRDefault="001227B3" w:rsidP="00595C61">
      <w:pPr>
        <w:rPr>
          <w:sz w:val="20"/>
          <w:szCs w:val="20"/>
        </w:rPr>
      </w:pPr>
    </w:p>
    <w:p w:rsidR="006B218F" w:rsidRDefault="006B218F"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B96EE9" w:rsidRPr="00982BCD" w:rsidRDefault="006F5F97" w:rsidP="00687F3F">
            <w:pPr>
              <w:rPr>
                <w:b/>
                <w:color w:val="0000FF"/>
                <w:sz w:val="20"/>
                <w:szCs w:val="20"/>
              </w:rPr>
            </w:pPr>
            <w:r>
              <w:rPr>
                <w:b/>
                <w:color w:val="0000FF"/>
                <w:sz w:val="20"/>
                <w:szCs w:val="20"/>
              </w:rPr>
              <w:t>New Student Authentication Requirements (Regis/Melissa)</w:t>
            </w:r>
          </w:p>
        </w:tc>
        <w:tc>
          <w:tcPr>
            <w:tcW w:w="6768" w:type="dxa"/>
          </w:tcPr>
          <w:p w:rsidR="00A905D8" w:rsidRDefault="00041A7C" w:rsidP="00221800">
            <w:pPr>
              <w:rPr>
                <w:bCs/>
                <w:sz w:val="20"/>
                <w:szCs w:val="20"/>
              </w:rPr>
            </w:pPr>
            <w:r>
              <w:rPr>
                <w:bCs/>
                <w:sz w:val="20"/>
                <w:szCs w:val="20"/>
              </w:rPr>
              <w:t xml:space="preserve">The “Higher Education Opportunity Act” requirement - SACS has modified the definition and policy that requires identification:  1) Secure log in and pass code; 2) proctored exam and 3) other technology and practices.  </w:t>
            </w:r>
          </w:p>
          <w:p w:rsidR="00041A7C" w:rsidRDefault="00041A7C" w:rsidP="00221800">
            <w:pPr>
              <w:rPr>
                <w:bCs/>
                <w:sz w:val="20"/>
                <w:szCs w:val="20"/>
              </w:rPr>
            </w:pPr>
          </w:p>
          <w:p w:rsidR="00041A7C" w:rsidRDefault="00041A7C" w:rsidP="00221800">
            <w:pPr>
              <w:rPr>
                <w:bCs/>
                <w:sz w:val="20"/>
                <w:szCs w:val="20"/>
              </w:rPr>
            </w:pPr>
            <w:r>
              <w:rPr>
                <w:bCs/>
                <w:sz w:val="20"/>
                <w:szCs w:val="20"/>
              </w:rPr>
              <w:t>We are getting mixed signals form SACS about how to handle this.  This is applicable to distance programs.  SACS defines distance as any course where the majority of instruction does not take place face to face or student and faculty are not in the same location.   There could be some cost associated with test proctoring that students would have to incur – fee is dependent upon proctoring agency.  We have three in our area that charge from $25-$75 (services</w:t>
            </w:r>
            <w:r w:rsidR="00866D62">
              <w:rPr>
                <w:bCs/>
                <w:sz w:val="20"/>
                <w:szCs w:val="20"/>
              </w:rPr>
              <w:t>.</w:t>
            </w:r>
            <w:r>
              <w:rPr>
                <w:bCs/>
                <w:sz w:val="20"/>
                <w:szCs w:val="20"/>
              </w:rPr>
              <w:t>northcarolina.edu).  We will provide you with proctoring locations.  Proctors must be vetted and are reconfirmed on an annual basis.  We need to have a plan in place and decide how to approach this with our department heads.</w:t>
            </w:r>
            <w:r w:rsidR="001360BE">
              <w:rPr>
                <w:bCs/>
                <w:sz w:val="20"/>
                <w:szCs w:val="20"/>
              </w:rPr>
              <w:t xml:space="preserve"> It could be that our secure log-in suffices for this requirement---we need more information to determine exactly what will be required.</w:t>
            </w:r>
            <w:r>
              <w:rPr>
                <w:bCs/>
                <w:sz w:val="20"/>
                <w:szCs w:val="20"/>
              </w:rPr>
              <w:t xml:space="preserve">  </w:t>
            </w:r>
          </w:p>
          <w:p w:rsidR="00041A7C" w:rsidRDefault="00041A7C" w:rsidP="00221800">
            <w:pPr>
              <w:rPr>
                <w:bCs/>
                <w:sz w:val="20"/>
                <w:szCs w:val="20"/>
              </w:rPr>
            </w:pPr>
          </w:p>
          <w:p w:rsidR="00041A7C" w:rsidRPr="00BA48D4" w:rsidRDefault="00041A7C" w:rsidP="00041A7C">
            <w:pPr>
              <w:tabs>
                <w:tab w:val="right" w:pos="480"/>
                <w:tab w:val="left" w:pos="1080"/>
                <w:tab w:val="left" w:leader="dot" w:pos="7380"/>
                <w:tab w:val="left" w:pos="7560"/>
              </w:tabs>
              <w:rPr>
                <w:bCs/>
                <w:vanish/>
                <w:sz w:val="20"/>
                <w:szCs w:val="20"/>
                <w:specVanish/>
              </w:rPr>
            </w:pPr>
            <w:r>
              <w:rPr>
                <w:bCs/>
                <w:sz w:val="20"/>
                <w:szCs w:val="20"/>
              </w:rPr>
              <w:t xml:space="preserve">We also have a UNC accreditation council – this topic will be addressed at that time – we will meet in early September.  There may be a UNC response.  Beth </w:t>
            </w:r>
            <w:r>
              <w:rPr>
                <w:bCs/>
                <w:sz w:val="20"/>
                <w:szCs w:val="20"/>
              </w:rPr>
              <w:lastRenderedPageBreak/>
              <w:t>will facilitate a DH workshop in November – can discuss at that time and likely will have more information.  COD agreed that GA may take the lead on this but they are not accredited by SACS - that may or may not be a solution.  Linda asked the deans to just mention this is coming down the pipe – nothing formal will be issued.  Regis has a power point regarding this topic and will share this with the deans.</w:t>
            </w:r>
          </w:p>
          <w:p w:rsidR="00041A7C" w:rsidRDefault="00041A7C" w:rsidP="00041A7C">
            <w:pPr>
              <w:numPr>
                <w:ilvl w:val="0"/>
                <w:numId w:val="19"/>
              </w:numPr>
              <w:tabs>
                <w:tab w:val="right" w:pos="480"/>
                <w:tab w:val="left" w:pos="1080"/>
                <w:tab w:val="left" w:leader="dot" w:pos="7380"/>
                <w:tab w:val="left" w:pos="7560"/>
              </w:tabs>
              <w:rPr>
                <w:bCs/>
                <w:sz w:val="20"/>
                <w:szCs w:val="20"/>
              </w:rPr>
            </w:pPr>
            <w:r>
              <w:rPr>
                <w:bCs/>
                <w:sz w:val="20"/>
                <w:szCs w:val="20"/>
              </w:rPr>
              <w:t xml:space="preserve"> </w:t>
            </w:r>
          </w:p>
          <w:p w:rsidR="00041A7C" w:rsidRPr="00892709" w:rsidRDefault="00041A7C" w:rsidP="00221800">
            <w:pPr>
              <w:rPr>
                <w:sz w:val="20"/>
                <w:szCs w:val="20"/>
              </w:rPr>
            </w:pPr>
          </w:p>
        </w:tc>
      </w:tr>
      <w:tr w:rsidR="006B218F" w:rsidTr="009B07D5">
        <w:tc>
          <w:tcPr>
            <w:tcW w:w="2088" w:type="dxa"/>
          </w:tcPr>
          <w:p w:rsidR="006B218F" w:rsidRPr="0086501C" w:rsidRDefault="008F267C" w:rsidP="0086501C">
            <w:pPr>
              <w:rPr>
                <w:b/>
                <w:color w:val="0000FF"/>
                <w:sz w:val="20"/>
                <w:szCs w:val="20"/>
              </w:rPr>
            </w:pPr>
            <w:r>
              <w:rPr>
                <w:b/>
                <w:color w:val="0000FF"/>
                <w:sz w:val="20"/>
                <w:szCs w:val="20"/>
              </w:rPr>
              <w:lastRenderedPageBreak/>
              <w:t>SACS Changes for Distance Learning (Regis/Melissa)</w:t>
            </w:r>
          </w:p>
        </w:tc>
        <w:tc>
          <w:tcPr>
            <w:tcW w:w="6768" w:type="dxa"/>
          </w:tcPr>
          <w:p w:rsidR="00C818D4" w:rsidRDefault="008F267C" w:rsidP="00E700E2">
            <w:pPr>
              <w:tabs>
                <w:tab w:val="right" w:pos="480"/>
                <w:tab w:val="left" w:pos="1080"/>
                <w:tab w:val="left" w:leader="dot" w:pos="7380"/>
                <w:tab w:val="left" w:pos="7560"/>
              </w:tabs>
              <w:rPr>
                <w:bCs/>
                <w:sz w:val="20"/>
                <w:szCs w:val="20"/>
              </w:rPr>
            </w:pPr>
            <w:r>
              <w:rPr>
                <w:bCs/>
                <w:sz w:val="20"/>
                <w:szCs w:val="20"/>
              </w:rPr>
              <w:t xml:space="preserve">The definition of distance education has not changed much.  The definition included many of the means of delivery.  Melissa reviewed the handout with COD.  We have many courses with 25% of the course on line.  The GA definition of online is courses with 50% or more online.  Discussion ensued.  </w:t>
            </w:r>
          </w:p>
          <w:p w:rsidR="008F267C" w:rsidRDefault="008F267C" w:rsidP="00E700E2">
            <w:pPr>
              <w:tabs>
                <w:tab w:val="right" w:pos="480"/>
                <w:tab w:val="left" w:pos="1080"/>
                <w:tab w:val="left" w:leader="dot" w:pos="7380"/>
                <w:tab w:val="left" w:pos="7560"/>
              </w:tabs>
              <w:rPr>
                <w:bCs/>
                <w:sz w:val="20"/>
                <w:szCs w:val="20"/>
              </w:rPr>
            </w:pPr>
          </w:p>
          <w:p w:rsidR="008F267C" w:rsidRDefault="008F267C" w:rsidP="00E700E2">
            <w:pPr>
              <w:tabs>
                <w:tab w:val="right" w:pos="480"/>
                <w:tab w:val="left" w:pos="1080"/>
                <w:tab w:val="left" w:leader="dot" w:pos="7380"/>
                <w:tab w:val="left" w:pos="7560"/>
              </w:tabs>
              <w:rPr>
                <w:bCs/>
                <w:sz w:val="20"/>
                <w:szCs w:val="20"/>
              </w:rPr>
            </w:pPr>
            <w:r>
              <w:rPr>
                <w:bCs/>
                <w:sz w:val="20"/>
                <w:szCs w:val="20"/>
              </w:rPr>
              <w:t xml:space="preserve">Our last reaffirmation was in 2007.  We have to recognize the rules from GA and the rules from SACS are different and this can cause a great deal of confusion.  </w:t>
            </w:r>
          </w:p>
          <w:p w:rsidR="008F267C" w:rsidRPr="00892709" w:rsidRDefault="008F267C" w:rsidP="00E700E2">
            <w:pPr>
              <w:tabs>
                <w:tab w:val="right" w:pos="480"/>
                <w:tab w:val="left" w:pos="1080"/>
                <w:tab w:val="left" w:leader="dot" w:pos="7380"/>
                <w:tab w:val="left" w:pos="7560"/>
              </w:tabs>
              <w:rPr>
                <w:sz w:val="20"/>
                <w:szCs w:val="20"/>
              </w:rPr>
            </w:pPr>
          </w:p>
        </w:tc>
      </w:tr>
      <w:tr w:rsidR="006B218F" w:rsidTr="009B07D5">
        <w:tc>
          <w:tcPr>
            <w:tcW w:w="2088" w:type="dxa"/>
          </w:tcPr>
          <w:p w:rsidR="00331652" w:rsidRPr="008F267C" w:rsidRDefault="008F267C" w:rsidP="008F267C">
            <w:pPr>
              <w:jc w:val="right"/>
              <w:rPr>
                <w:b/>
                <w:i/>
                <w:color w:val="0000FF"/>
                <w:sz w:val="20"/>
                <w:szCs w:val="20"/>
              </w:rPr>
            </w:pPr>
            <w:r>
              <w:rPr>
                <w:b/>
                <w:i/>
                <w:color w:val="0000FF"/>
                <w:sz w:val="20"/>
                <w:szCs w:val="20"/>
              </w:rPr>
              <w:t>Action Item</w:t>
            </w:r>
          </w:p>
        </w:tc>
        <w:tc>
          <w:tcPr>
            <w:tcW w:w="6768" w:type="dxa"/>
          </w:tcPr>
          <w:p w:rsidR="00423505" w:rsidRDefault="008F267C" w:rsidP="00B862E7">
            <w:pPr>
              <w:rPr>
                <w:bCs/>
                <w:sz w:val="20"/>
                <w:szCs w:val="20"/>
              </w:rPr>
            </w:pPr>
            <w:r>
              <w:rPr>
                <w:bCs/>
                <w:sz w:val="20"/>
                <w:szCs w:val="20"/>
              </w:rPr>
              <w:t>Melissa will send the current inventory of program</w:t>
            </w:r>
            <w:r w:rsidR="001360BE">
              <w:rPr>
                <w:bCs/>
                <w:sz w:val="20"/>
                <w:szCs w:val="20"/>
              </w:rPr>
              <w:t>s</w:t>
            </w:r>
            <w:r>
              <w:rPr>
                <w:bCs/>
                <w:sz w:val="20"/>
                <w:szCs w:val="20"/>
              </w:rPr>
              <w:t xml:space="preserve"> to the deans who will take an inventory of their programs by 9/15 and send directly to Melissa.</w:t>
            </w:r>
          </w:p>
          <w:p w:rsidR="005B199E" w:rsidRPr="00B862E7" w:rsidRDefault="005B199E" w:rsidP="00B862E7">
            <w:pPr>
              <w:rPr>
                <w:bCs/>
                <w:sz w:val="20"/>
                <w:szCs w:val="20"/>
              </w:rPr>
            </w:pPr>
          </w:p>
        </w:tc>
      </w:tr>
      <w:tr w:rsidR="006B218F" w:rsidTr="009B07D5">
        <w:tc>
          <w:tcPr>
            <w:tcW w:w="2088" w:type="dxa"/>
          </w:tcPr>
          <w:p w:rsidR="005B199E" w:rsidRDefault="005B199E" w:rsidP="0031127C">
            <w:pPr>
              <w:rPr>
                <w:b/>
                <w:color w:val="0000FF"/>
                <w:sz w:val="20"/>
                <w:szCs w:val="20"/>
              </w:rPr>
            </w:pPr>
            <w:r>
              <w:rPr>
                <w:b/>
                <w:color w:val="0000FF"/>
                <w:sz w:val="20"/>
                <w:szCs w:val="20"/>
              </w:rPr>
              <w:t xml:space="preserve">Administrative Program Review Schedule and </w:t>
            </w:r>
          </w:p>
          <w:p w:rsidR="001F4A67" w:rsidRDefault="005B199E" w:rsidP="0031127C">
            <w:pPr>
              <w:rPr>
                <w:b/>
                <w:color w:val="0000FF"/>
                <w:sz w:val="20"/>
                <w:szCs w:val="20"/>
              </w:rPr>
            </w:pPr>
            <w:r>
              <w:rPr>
                <w:b/>
                <w:color w:val="0000FF"/>
                <w:sz w:val="20"/>
                <w:szCs w:val="20"/>
              </w:rPr>
              <w:t>Policy 105</w:t>
            </w:r>
          </w:p>
          <w:p w:rsidR="005B199E" w:rsidRPr="0031127C" w:rsidRDefault="005B199E" w:rsidP="0031127C">
            <w:pPr>
              <w:rPr>
                <w:b/>
                <w:color w:val="0000FF"/>
                <w:sz w:val="20"/>
                <w:szCs w:val="20"/>
              </w:rPr>
            </w:pPr>
            <w:r>
              <w:rPr>
                <w:b/>
                <w:color w:val="0000FF"/>
                <w:sz w:val="20"/>
                <w:szCs w:val="20"/>
              </w:rPr>
              <w:t>(Beth/Scott)</w:t>
            </w:r>
          </w:p>
        </w:tc>
        <w:tc>
          <w:tcPr>
            <w:tcW w:w="6768" w:type="dxa"/>
          </w:tcPr>
          <w:p w:rsidR="001F4A67" w:rsidRDefault="005B199E" w:rsidP="00330BEF">
            <w:pPr>
              <w:pStyle w:val="ListParagraph"/>
              <w:tabs>
                <w:tab w:val="right" w:pos="480"/>
                <w:tab w:val="left" w:leader="dot" w:pos="7380"/>
                <w:tab w:val="left" w:pos="7560"/>
              </w:tabs>
              <w:ind w:left="0"/>
              <w:rPr>
                <w:bCs/>
                <w:sz w:val="20"/>
                <w:szCs w:val="20"/>
              </w:rPr>
            </w:pPr>
            <w:r>
              <w:rPr>
                <w:bCs/>
                <w:sz w:val="20"/>
                <w:szCs w:val="20"/>
              </w:rPr>
              <w:t xml:space="preserve">The deans have reviewed this several times but there was a piece missing.  Beth went through and added </w:t>
            </w:r>
            <w:proofErr w:type="spellStart"/>
            <w:r>
              <w:rPr>
                <w:bCs/>
                <w:sz w:val="20"/>
                <w:szCs w:val="20"/>
              </w:rPr>
              <w:t>verbage</w:t>
            </w:r>
            <w:proofErr w:type="spellEnd"/>
            <w:r>
              <w:rPr>
                <w:bCs/>
                <w:sz w:val="20"/>
                <w:szCs w:val="20"/>
              </w:rPr>
              <w:t xml:space="preserve"> regarding centers and institutes for the university, not just Academic Affairs.  Other divisions have their own processes.  We do not have a comprehensive list of centers and institutes that are outside of Academic Affairs.  GA considers big C centers if the state provides funding.  Little c centers are those funded by the institution.   GA wants each campus to decide how to manage these.  Discussion ensued.  </w:t>
            </w:r>
          </w:p>
          <w:p w:rsidR="00417D78" w:rsidRDefault="00417D78" w:rsidP="00330BEF">
            <w:pPr>
              <w:pStyle w:val="ListParagraph"/>
              <w:tabs>
                <w:tab w:val="right" w:pos="480"/>
                <w:tab w:val="left" w:leader="dot" w:pos="7380"/>
                <w:tab w:val="left" w:pos="7560"/>
              </w:tabs>
              <w:ind w:left="0"/>
              <w:rPr>
                <w:bCs/>
                <w:sz w:val="20"/>
                <w:szCs w:val="20"/>
              </w:rPr>
            </w:pPr>
          </w:p>
          <w:p w:rsidR="00417D78" w:rsidRDefault="00417D78" w:rsidP="00330BEF">
            <w:pPr>
              <w:pStyle w:val="ListParagraph"/>
              <w:tabs>
                <w:tab w:val="right" w:pos="480"/>
                <w:tab w:val="left" w:leader="dot" w:pos="7380"/>
                <w:tab w:val="left" w:pos="7560"/>
              </w:tabs>
              <w:ind w:left="0"/>
              <w:rPr>
                <w:bCs/>
                <w:sz w:val="20"/>
                <w:szCs w:val="20"/>
              </w:rPr>
            </w:pPr>
            <w:r>
              <w:rPr>
                <w:bCs/>
                <w:sz w:val="20"/>
                <w:szCs w:val="20"/>
              </w:rPr>
              <w:t>Initially the program review targeted academic support centers and it has been expanded from there.  Beth asked whether the language she added needs to become policy or not.  Linda said the chancellor wants to have administrative review completed.  The chancellor has asked each division to create a policy to conduct an administrative review.  Discussion ensued.</w:t>
            </w:r>
          </w:p>
          <w:p w:rsidR="00417D78" w:rsidRPr="008C7649" w:rsidRDefault="00417D78" w:rsidP="00330BEF">
            <w:pPr>
              <w:pStyle w:val="ListParagraph"/>
              <w:tabs>
                <w:tab w:val="right" w:pos="480"/>
                <w:tab w:val="left" w:leader="dot" w:pos="7380"/>
                <w:tab w:val="left" w:pos="7560"/>
              </w:tabs>
              <w:ind w:left="0"/>
              <w:rPr>
                <w:sz w:val="20"/>
                <w:szCs w:val="20"/>
              </w:rPr>
            </w:pPr>
          </w:p>
        </w:tc>
      </w:tr>
      <w:tr w:rsidR="006B218F" w:rsidTr="009B07D5">
        <w:tc>
          <w:tcPr>
            <w:tcW w:w="2088" w:type="dxa"/>
          </w:tcPr>
          <w:p w:rsidR="008936BE" w:rsidRPr="00417D78" w:rsidRDefault="00417D78" w:rsidP="00417D78">
            <w:pPr>
              <w:jc w:val="right"/>
              <w:rPr>
                <w:b/>
                <w:i/>
                <w:color w:val="0000FF"/>
                <w:sz w:val="20"/>
                <w:szCs w:val="20"/>
              </w:rPr>
            </w:pPr>
            <w:r>
              <w:rPr>
                <w:b/>
                <w:i/>
                <w:color w:val="0000FF"/>
                <w:sz w:val="20"/>
                <w:szCs w:val="20"/>
              </w:rPr>
              <w:t>Action Item</w:t>
            </w:r>
          </w:p>
        </w:tc>
        <w:tc>
          <w:tcPr>
            <w:tcW w:w="6768" w:type="dxa"/>
          </w:tcPr>
          <w:p w:rsidR="005619E8" w:rsidRDefault="00417D78" w:rsidP="009B07D5">
            <w:pPr>
              <w:tabs>
                <w:tab w:val="left" w:pos="0"/>
                <w:tab w:val="right" w:pos="480"/>
                <w:tab w:val="left" w:leader="dot" w:pos="7380"/>
                <w:tab w:val="left" w:pos="7560"/>
              </w:tabs>
              <w:rPr>
                <w:bCs/>
                <w:sz w:val="20"/>
                <w:szCs w:val="20"/>
              </w:rPr>
            </w:pPr>
            <w:r>
              <w:rPr>
                <w:bCs/>
                <w:sz w:val="20"/>
                <w:szCs w:val="20"/>
              </w:rPr>
              <w:t>Deans provided feedback to Beth who will make these changes to the document.  Linda asked Beth to make those changes and send it out to the deans one more time.</w:t>
            </w:r>
          </w:p>
          <w:p w:rsidR="00417D78" w:rsidRPr="009B07D5" w:rsidRDefault="00417D78" w:rsidP="009B07D5">
            <w:pPr>
              <w:tabs>
                <w:tab w:val="left" w:pos="0"/>
                <w:tab w:val="right" w:pos="480"/>
                <w:tab w:val="left" w:leader="dot" w:pos="7380"/>
                <w:tab w:val="left" w:pos="7560"/>
              </w:tabs>
              <w:rPr>
                <w:sz w:val="20"/>
                <w:szCs w:val="20"/>
              </w:rPr>
            </w:pPr>
          </w:p>
        </w:tc>
      </w:tr>
      <w:tr w:rsidR="00417D78" w:rsidTr="009B07D5">
        <w:tc>
          <w:tcPr>
            <w:tcW w:w="2088" w:type="dxa"/>
          </w:tcPr>
          <w:p w:rsidR="00417D78" w:rsidRPr="00417D78" w:rsidRDefault="00417D78" w:rsidP="00417D78">
            <w:pPr>
              <w:rPr>
                <w:b/>
                <w:color w:val="0000FF"/>
                <w:sz w:val="20"/>
                <w:szCs w:val="20"/>
              </w:rPr>
            </w:pPr>
            <w:r>
              <w:rPr>
                <w:b/>
                <w:color w:val="0000FF"/>
                <w:sz w:val="20"/>
                <w:szCs w:val="20"/>
              </w:rPr>
              <w:t>Graduate Faculty Status (Scott)</w:t>
            </w:r>
          </w:p>
        </w:tc>
        <w:tc>
          <w:tcPr>
            <w:tcW w:w="6768" w:type="dxa"/>
          </w:tcPr>
          <w:p w:rsidR="00417D78" w:rsidRDefault="00417D78" w:rsidP="009B07D5">
            <w:pPr>
              <w:tabs>
                <w:tab w:val="left" w:pos="0"/>
                <w:tab w:val="right" w:pos="480"/>
                <w:tab w:val="left" w:leader="dot" w:pos="7380"/>
                <w:tab w:val="left" w:pos="7560"/>
              </w:tabs>
              <w:rPr>
                <w:bCs/>
                <w:sz w:val="20"/>
                <w:szCs w:val="20"/>
              </w:rPr>
            </w:pPr>
            <w:r>
              <w:rPr>
                <w:bCs/>
                <w:sz w:val="20"/>
                <w:szCs w:val="20"/>
              </w:rPr>
              <w:t xml:space="preserve">We are discussing membership (previously discussed).  Linda and Scott met to flesh this out and are bringing it back to COD for review before it goes to the Graduate Council in September.  The main issue raised is to have some provision for long term faculty on fixed term appointments to serve as graduate faculty.  Discussion ensued.   </w:t>
            </w:r>
          </w:p>
          <w:p w:rsidR="00417D78" w:rsidRDefault="00417D78" w:rsidP="009B07D5">
            <w:pPr>
              <w:tabs>
                <w:tab w:val="left" w:pos="0"/>
                <w:tab w:val="right" w:pos="480"/>
                <w:tab w:val="left" w:leader="dot" w:pos="7380"/>
                <w:tab w:val="left" w:pos="7560"/>
              </w:tabs>
              <w:rPr>
                <w:bCs/>
                <w:sz w:val="20"/>
                <w:szCs w:val="20"/>
              </w:rPr>
            </w:pPr>
          </w:p>
          <w:p w:rsidR="00417D78" w:rsidRDefault="00417D78" w:rsidP="009B07D5">
            <w:pPr>
              <w:tabs>
                <w:tab w:val="left" w:pos="0"/>
                <w:tab w:val="right" w:pos="480"/>
                <w:tab w:val="left" w:leader="dot" w:pos="7380"/>
                <w:tab w:val="left" w:pos="7560"/>
              </w:tabs>
              <w:rPr>
                <w:bCs/>
                <w:sz w:val="20"/>
                <w:szCs w:val="20"/>
              </w:rPr>
            </w:pPr>
            <w:r>
              <w:rPr>
                <w:bCs/>
                <w:sz w:val="20"/>
                <w:szCs w:val="20"/>
              </w:rPr>
              <w:t xml:space="preserve">Bob would like there to be some catchall definition that would provide allowance for the dean to make a recommendation for a particular faculty member to serve in this capacity – not to make it automatic but to allow for a process.  Linda asked Bob to write something that addresses this particular issue.  Bob suggested creating a “professor of the practice” which allows someone to teach graduate courses and activities – this could be folded into Policy 6.  This is referenced as having a “national presence” on the AA21 which allows bachelors level to teach graduate courses.  This also would be folded into APR 12.  </w:t>
            </w:r>
          </w:p>
          <w:p w:rsidR="00417D78" w:rsidRDefault="00417D78" w:rsidP="009B07D5">
            <w:pPr>
              <w:tabs>
                <w:tab w:val="left" w:pos="0"/>
                <w:tab w:val="right" w:pos="480"/>
                <w:tab w:val="left" w:leader="dot" w:pos="7380"/>
                <w:tab w:val="left" w:pos="7560"/>
              </w:tabs>
              <w:rPr>
                <w:bCs/>
                <w:sz w:val="20"/>
                <w:szCs w:val="20"/>
              </w:rPr>
            </w:pPr>
          </w:p>
          <w:p w:rsidR="00AE4602" w:rsidRDefault="00AE4602" w:rsidP="009B07D5">
            <w:pPr>
              <w:tabs>
                <w:tab w:val="left" w:pos="0"/>
                <w:tab w:val="right" w:pos="480"/>
                <w:tab w:val="left" w:leader="dot" w:pos="7380"/>
                <w:tab w:val="left" w:pos="7560"/>
              </w:tabs>
              <w:rPr>
                <w:bCs/>
                <w:sz w:val="20"/>
                <w:szCs w:val="20"/>
              </w:rPr>
            </w:pPr>
            <w:r>
              <w:rPr>
                <w:bCs/>
                <w:sz w:val="20"/>
                <w:szCs w:val="20"/>
              </w:rPr>
              <w:t xml:space="preserve">Discussion ensued regarding providing support to graduate faculty.  </w:t>
            </w:r>
          </w:p>
          <w:p w:rsidR="00AE4602" w:rsidRDefault="00AE4602" w:rsidP="009B07D5">
            <w:pPr>
              <w:tabs>
                <w:tab w:val="left" w:pos="0"/>
                <w:tab w:val="right" w:pos="480"/>
                <w:tab w:val="left" w:leader="dot" w:pos="7380"/>
                <w:tab w:val="left" w:pos="7560"/>
              </w:tabs>
              <w:rPr>
                <w:bCs/>
                <w:sz w:val="20"/>
                <w:szCs w:val="20"/>
              </w:rPr>
            </w:pPr>
          </w:p>
        </w:tc>
      </w:tr>
      <w:tr w:rsidR="00AE4602" w:rsidTr="009B07D5">
        <w:tc>
          <w:tcPr>
            <w:tcW w:w="2088" w:type="dxa"/>
          </w:tcPr>
          <w:p w:rsidR="00AE4602" w:rsidRPr="00AE4602" w:rsidRDefault="00AE4602" w:rsidP="00AE4602">
            <w:pPr>
              <w:jc w:val="right"/>
              <w:rPr>
                <w:b/>
                <w:i/>
                <w:color w:val="0000FF"/>
                <w:sz w:val="20"/>
                <w:szCs w:val="20"/>
              </w:rPr>
            </w:pPr>
            <w:r>
              <w:rPr>
                <w:b/>
                <w:i/>
                <w:color w:val="0000FF"/>
                <w:sz w:val="20"/>
                <w:szCs w:val="20"/>
              </w:rPr>
              <w:t>Action Item</w:t>
            </w:r>
          </w:p>
        </w:tc>
        <w:tc>
          <w:tcPr>
            <w:tcW w:w="6768" w:type="dxa"/>
          </w:tcPr>
          <w:p w:rsidR="00AE4602" w:rsidRDefault="00AE4602" w:rsidP="009B07D5">
            <w:pPr>
              <w:tabs>
                <w:tab w:val="left" w:pos="0"/>
                <w:tab w:val="right" w:pos="480"/>
                <w:tab w:val="left" w:leader="dot" w:pos="7380"/>
                <w:tab w:val="left" w:pos="7560"/>
              </w:tabs>
              <w:rPr>
                <w:bCs/>
                <w:sz w:val="20"/>
                <w:szCs w:val="20"/>
              </w:rPr>
            </w:pPr>
            <w:r>
              <w:rPr>
                <w:bCs/>
                <w:sz w:val="20"/>
                <w:szCs w:val="20"/>
              </w:rPr>
              <w:t xml:space="preserve">Scott will make suggested changes to Policy 105.  Bob will draft the “professor of the practice” in Policy 6.  We will add to the AA12 the requirement of dean’s signature for graduate faculty status.  Beth and Scott will send this out to all the </w:t>
            </w:r>
            <w:r>
              <w:rPr>
                <w:bCs/>
                <w:sz w:val="20"/>
                <w:szCs w:val="20"/>
              </w:rPr>
              <w:lastRenderedPageBreak/>
              <w:t xml:space="preserve">deans for a final look.  This document needs to go in the faculty handbook and go through the Faculty Affairs Committee and Faculty Senate.  This will be brought back to the Aug 17 meeting for final review.  </w:t>
            </w:r>
          </w:p>
          <w:p w:rsidR="00AE4602" w:rsidRDefault="00AE4602" w:rsidP="009B07D5">
            <w:pPr>
              <w:tabs>
                <w:tab w:val="left" w:pos="0"/>
                <w:tab w:val="right" w:pos="480"/>
                <w:tab w:val="left" w:leader="dot" w:pos="7380"/>
                <w:tab w:val="left" w:pos="7560"/>
              </w:tabs>
              <w:rPr>
                <w:bCs/>
                <w:sz w:val="20"/>
                <w:szCs w:val="20"/>
              </w:rPr>
            </w:pPr>
          </w:p>
        </w:tc>
      </w:tr>
      <w:tr w:rsidR="00323C2E" w:rsidTr="009B07D5">
        <w:tc>
          <w:tcPr>
            <w:tcW w:w="2088" w:type="dxa"/>
          </w:tcPr>
          <w:p w:rsidR="00323C2E" w:rsidRPr="00323C2E" w:rsidRDefault="00323C2E" w:rsidP="00323C2E">
            <w:pPr>
              <w:rPr>
                <w:b/>
                <w:color w:val="0000FF"/>
                <w:sz w:val="20"/>
                <w:szCs w:val="20"/>
              </w:rPr>
            </w:pPr>
            <w:r>
              <w:rPr>
                <w:b/>
                <w:color w:val="0000FF"/>
                <w:sz w:val="20"/>
                <w:szCs w:val="20"/>
              </w:rPr>
              <w:lastRenderedPageBreak/>
              <w:t xml:space="preserve">Department Head Workshop </w:t>
            </w:r>
          </w:p>
        </w:tc>
        <w:tc>
          <w:tcPr>
            <w:tcW w:w="6768" w:type="dxa"/>
          </w:tcPr>
          <w:p w:rsidR="00323C2E" w:rsidRDefault="00000C2E" w:rsidP="009B07D5">
            <w:pPr>
              <w:tabs>
                <w:tab w:val="left" w:pos="0"/>
                <w:tab w:val="right" w:pos="480"/>
                <w:tab w:val="left" w:leader="dot" w:pos="7380"/>
                <w:tab w:val="left" w:pos="7560"/>
              </w:tabs>
              <w:rPr>
                <w:bCs/>
                <w:sz w:val="20"/>
                <w:szCs w:val="20"/>
              </w:rPr>
            </w:pPr>
            <w:r>
              <w:rPr>
                <w:bCs/>
                <w:sz w:val="20"/>
                <w:szCs w:val="20"/>
              </w:rPr>
              <w:t>Beth reviewed the department head workshop agenda with COD.  Deans and associate deans are invited to the lunch and afternoon session.  Beth asked COD for recommendations.</w:t>
            </w:r>
          </w:p>
          <w:p w:rsidR="00000C2E" w:rsidRDefault="00000C2E" w:rsidP="009B07D5">
            <w:pPr>
              <w:tabs>
                <w:tab w:val="left" w:pos="0"/>
                <w:tab w:val="right" w:pos="480"/>
                <w:tab w:val="left" w:leader="dot" w:pos="7380"/>
                <w:tab w:val="left" w:pos="7560"/>
              </w:tabs>
              <w:rPr>
                <w:bCs/>
                <w:sz w:val="20"/>
                <w:szCs w:val="20"/>
              </w:rPr>
            </w:pPr>
          </w:p>
        </w:tc>
      </w:tr>
    </w:tbl>
    <w:p w:rsidR="006B218F" w:rsidRDefault="006B218F" w:rsidP="00595C61">
      <w:pPr>
        <w:rPr>
          <w:b/>
          <w:color w:val="0000FF"/>
          <w:sz w:val="20"/>
          <w:szCs w:val="20"/>
        </w:rPr>
      </w:pPr>
    </w:p>
    <w:p w:rsidR="006B218F" w:rsidRDefault="006B218F" w:rsidP="00595C61">
      <w:pPr>
        <w:rPr>
          <w:b/>
          <w:color w:val="0000FF"/>
          <w:sz w:val="20"/>
          <w:szCs w:val="20"/>
        </w:rPr>
      </w:pPr>
      <w:r>
        <w:rPr>
          <w:b/>
          <w:color w:val="0000FF"/>
          <w:sz w:val="20"/>
          <w:szCs w:val="20"/>
        </w:rPr>
        <w:t>REPORTS AND UPDATES</w:t>
      </w:r>
    </w:p>
    <w:tbl>
      <w:tblPr>
        <w:tblStyle w:val="TableGrid"/>
        <w:tblW w:w="0" w:type="auto"/>
        <w:tblLook w:val="04A0"/>
      </w:tblPr>
      <w:tblGrid>
        <w:gridCol w:w="2088"/>
        <w:gridCol w:w="6768"/>
      </w:tblGrid>
      <w:tr w:rsidR="005B1DF9" w:rsidTr="00790F26">
        <w:tc>
          <w:tcPr>
            <w:tcW w:w="2088" w:type="dxa"/>
          </w:tcPr>
          <w:p w:rsidR="005B1DF9" w:rsidRDefault="00A234CE" w:rsidP="00595C61">
            <w:pPr>
              <w:rPr>
                <w:b/>
                <w:color w:val="0000FF"/>
                <w:sz w:val="20"/>
                <w:szCs w:val="20"/>
              </w:rPr>
            </w:pPr>
            <w:r>
              <w:rPr>
                <w:b/>
                <w:color w:val="0000FF"/>
                <w:sz w:val="20"/>
                <w:szCs w:val="20"/>
              </w:rPr>
              <w:t>Boyer Model Event (Beth)</w:t>
            </w:r>
          </w:p>
        </w:tc>
        <w:tc>
          <w:tcPr>
            <w:tcW w:w="6768" w:type="dxa"/>
          </w:tcPr>
          <w:p w:rsidR="005B1DF9" w:rsidRDefault="00A234CE" w:rsidP="00595C61">
            <w:pPr>
              <w:rPr>
                <w:bCs/>
                <w:sz w:val="20"/>
                <w:szCs w:val="20"/>
              </w:rPr>
            </w:pPr>
            <w:r>
              <w:rPr>
                <w:bCs/>
                <w:sz w:val="20"/>
                <w:szCs w:val="20"/>
              </w:rPr>
              <w:t>There will be teams coming from all over the country for this event and will depart with a plan to implement on their campus.  WCU will be facilitating.  So far we have about 20 participants.  The deans are invited to attend and hear the keynote and discussion after – Beth will send this information to the deans.</w:t>
            </w:r>
          </w:p>
          <w:p w:rsidR="00A234CE" w:rsidRDefault="00A234CE" w:rsidP="00595C61">
            <w:pPr>
              <w:rPr>
                <w:b/>
                <w:color w:val="0000FF"/>
                <w:sz w:val="20"/>
                <w:szCs w:val="20"/>
              </w:rPr>
            </w:pPr>
          </w:p>
        </w:tc>
      </w:tr>
      <w:tr w:rsidR="00A234CE" w:rsidTr="00790F26">
        <w:tc>
          <w:tcPr>
            <w:tcW w:w="2088" w:type="dxa"/>
          </w:tcPr>
          <w:p w:rsidR="00A234CE" w:rsidRDefault="00BD71F7" w:rsidP="00595C61">
            <w:pPr>
              <w:rPr>
                <w:b/>
                <w:color w:val="0000FF"/>
                <w:sz w:val="20"/>
                <w:szCs w:val="20"/>
              </w:rPr>
            </w:pPr>
            <w:r>
              <w:rPr>
                <w:b/>
                <w:color w:val="0000FF"/>
                <w:sz w:val="20"/>
                <w:szCs w:val="20"/>
              </w:rPr>
              <w:t>Brazilian Project (Bob)</w:t>
            </w:r>
          </w:p>
        </w:tc>
        <w:tc>
          <w:tcPr>
            <w:tcW w:w="6768" w:type="dxa"/>
          </w:tcPr>
          <w:p w:rsidR="00A234CE" w:rsidRDefault="00BD71F7" w:rsidP="00595C61">
            <w:pPr>
              <w:rPr>
                <w:bCs/>
                <w:sz w:val="20"/>
                <w:szCs w:val="20"/>
              </w:rPr>
            </w:pPr>
            <w:r>
              <w:rPr>
                <w:bCs/>
                <w:sz w:val="20"/>
                <w:szCs w:val="20"/>
              </w:rPr>
              <w:t>COB has been extremely helpful in this project.  We began discussion a year ago with a small company in Brazil with a 140 billion market cap – 2</w:t>
            </w:r>
            <w:r w:rsidRPr="00616406">
              <w:rPr>
                <w:bCs/>
                <w:sz w:val="20"/>
                <w:szCs w:val="20"/>
                <w:vertAlign w:val="superscript"/>
              </w:rPr>
              <w:t>nd</w:t>
            </w:r>
            <w:r>
              <w:rPr>
                <w:bCs/>
                <w:sz w:val="20"/>
                <w:szCs w:val="20"/>
              </w:rPr>
              <w:t xml:space="preserve"> largest mining </w:t>
            </w:r>
            <w:proofErr w:type="gramStart"/>
            <w:r>
              <w:rPr>
                <w:bCs/>
                <w:sz w:val="20"/>
                <w:szCs w:val="20"/>
              </w:rPr>
              <w:t>company</w:t>
            </w:r>
            <w:proofErr w:type="gramEnd"/>
            <w:r>
              <w:rPr>
                <w:bCs/>
                <w:sz w:val="20"/>
                <w:szCs w:val="20"/>
              </w:rPr>
              <w:t xml:space="preserve"> in the world – primary operation in Brazil.  Because they operate in remote places they have to generate their own electricity locally and do this with industrial class generators.    About eight percent of the energy consumed by Brazil is consumed by this company.  The generators key technology is the jet motor that operates it.    We are trying to find a way to operate this generator that will run on locally produced fuels (methanol-alcohol).  The company has found they do not have the expertise in Brazil to accomplish this.  They contracted with a group of experts to assist them which connected them to the Kimmel school and we have taken on the role of the primary engineering center of activity for them in the U.S.  </w:t>
            </w:r>
          </w:p>
          <w:p w:rsidR="00BD71F7" w:rsidRDefault="00BD71F7" w:rsidP="00595C61">
            <w:pPr>
              <w:rPr>
                <w:bCs/>
                <w:sz w:val="20"/>
                <w:szCs w:val="20"/>
              </w:rPr>
            </w:pPr>
          </w:p>
          <w:p w:rsidR="00BD71F7" w:rsidRDefault="00151B97" w:rsidP="00595C61">
            <w:pPr>
              <w:rPr>
                <w:bCs/>
                <w:sz w:val="20"/>
                <w:szCs w:val="20"/>
              </w:rPr>
            </w:pPr>
            <w:r>
              <w:rPr>
                <w:bCs/>
                <w:sz w:val="20"/>
                <w:szCs w:val="20"/>
              </w:rPr>
              <w:t>As part of the agreement, WCU will host their initial U.S. headquarters in space on our campus and plan to build facilities in western NC.  They are also funding the creation of two aerospace labs on campus located in the CAT building.  This will give us capability that no other NC institution or other universities in the county will have. They have committed to a four year relationship with WCU.  We expect to have about a dozen students a year working on this project.</w:t>
            </w:r>
          </w:p>
          <w:p w:rsidR="00151B97" w:rsidRDefault="00151B97" w:rsidP="00595C61">
            <w:pPr>
              <w:rPr>
                <w:bCs/>
                <w:sz w:val="20"/>
                <w:szCs w:val="20"/>
              </w:rPr>
            </w:pPr>
          </w:p>
        </w:tc>
      </w:tr>
    </w:tbl>
    <w:p w:rsidR="006B218F" w:rsidRDefault="006B218F" w:rsidP="00595C61">
      <w:pPr>
        <w:rPr>
          <w:b/>
          <w:color w:val="0000FF"/>
          <w:sz w:val="20"/>
          <w:szCs w:val="20"/>
        </w:rPr>
      </w:pPr>
    </w:p>
    <w:p w:rsidR="00930168" w:rsidRDefault="00930168" w:rsidP="00595C61">
      <w:pPr>
        <w:rPr>
          <w:b/>
          <w:color w:val="0000FF"/>
          <w:sz w:val="20"/>
          <w:szCs w:val="20"/>
        </w:rPr>
      </w:pPr>
      <w:r>
        <w:rPr>
          <w:b/>
          <w:color w:val="0000FF"/>
          <w:sz w:val="20"/>
          <w:szCs w:val="20"/>
        </w:rPr>
        <w:t>PROVOST UPDATES</w:t>
      </w:r>
    </w:p>
    <w:tbl>
      <w:tblPr>
        <w:tblStyle w:val="TableGrid"/>
        <w:tblW w:w="0" w:type="auto"/>
        <w:tblLook w:val="04A0"/>
      </w:tblPr>
      <w:tblGrid>
        <w:gridCol w:w="2088"/>
        <w:gridCol w:w="6768"/>
      </w:tblGrid>
      <w:tr w:rsidR="00930168" w:rsidTr="00930168">
        <w:tc>
          <w:tcPr>
            <w:tcW w:w="2088" w:type="dxa"/>
          </w:tcPr>
          <w:p w:rsidR="00930168" w:rsidRDefault="00930168" w:rsidP="00595C61">
            <w:pPr>
              <w:rPr>
                <w:b/>
                <w:color w:val="0000FF"/>
                <w:sz w:val="20"/>
                <w:szCs w:val="20"/>
              </w:rPr>
            </w:pPr>
            <w:r>
              <w:rPr>
                <w:b/>
                <w:color w:val="0000FF"/>
                <w:sz w:val="20"/>
                <w:szCs w:val="20"/>
              </w:rPr>
              <w:t>One Time Dollars Request</w:t>
            </w:r>
          </w:p>
        </w:tc>
        <w:tc>
          <w:tcPr>
            <w:tcW w:w="6768" w:type="dxa"/>
          </w:tcPr>
          <w:p w:rsidR="00930168" w:rsidRDefault="00930168" w:rsidP="00595C61">
            <w:pPr>
              <w:rPr>
                <w:bCs/>
                <w:sz w:val="20"/>
                <w:szCs w:val="20"/>
              </w:rPr>
            </w:pPr>
            <w:r>
              <w:rPr>
                <w:bCs/>
                <w:sz w:val="20"/>
                <w:szCs w:val="20"/>
              </w:rPr>
              <w:t>We may have enrollment growth dollars.  Linda asked the deans to send her a short list – no more than five items.  It cannot be personnel – equipment, software, pieces and parts of things that we can buy on one time, priority order your items.  This needs to be to Linda by September 1!</w:t>
            </w:r>
          </w:p>
          <w:p w:rsidR="00930168" w:rsidRDefault="00930168" w:rsidP="00595C61">
            <w:pPr>
              <w:rPr>
                <w:b/>
                <w:color w:val="0000FF"/>
                <w:sz w:val="20"/>
                <w:szCs w:val="20"/>
              </w:rPr>
            </w:pPr>
          </w:p>
        </w:tc>
      </w:tr>
      <w:tr w:rsidR="00930168" w:rsidTr="00930168">
        <w:tc>
          <w:tcPr>
            <w:tcW w:w="2088" w:type="dxa"/>
          </w:tcPr>
          <w:p w:rsidR="00930168" w:rsidRDefault="003E0850" w:rsidP="00595C61">
            <w:pPr>
              <w:rPr>
                <w:b/>
                <w:color w:val="0000FF"/>
                <w:sz w:val="20"/>
                <w:szCs w:val="20"/>
              </w:rPr>
            </w:pPr>
            <w:r>
              <w:rPr>
                <w:b/>
                <w:color w:val="0000FF"/>
                <w:sz w:val="20"/>
                <w:szCs w:val="20"/>
              </w:rPr>
              <w:t>Discretionary Dollars</w:t>
            </w:r>
          </w:p>
        </w:tc>
        <w:tc>
          <w:tcPr>
            <w:tcW w:w="6768" w:type="dxa"/>
          </w:tcPr>
          <w:p w:rsidR="003E0850" w:rsidRDefault="003E0850" w:rsidP="003E0850">
            <w:pPr>
              <w:tabs>
                <w:tab w:val="right" w:pos="480"/>
                <w:tab w:val="left" w:pos="1080"/>
                <w:tab w:val="left" w:leader="dot" w:pos="7380"/>
                <w:tab w:val="left" w:pos="7560"/>
              </w:tabs>
              <w:rPr>
                <w:bCs/>
                <w:sz w:val="20"/>
                <w:szCs w:val="20"/>
              </w:rPr>
            </w:pPr>
            <w:r>
              <w:rPr>
                <w:bCs/>
                <w:sz w:val="20"/>
                <w:szCs w:val="20"/>
              </w:rPr>
              <w:t>Discretionary dollars will be cut this year.  Deans and AVC’s will not receive football tickets this year.  E&amp;T funds will be cut (funding beyond what the provost is providing now).  Linda will send a report to state who is receiving E&amp;T funds.  We are trying very hard to bring IT into recurring funds (E&amp;T is recurring).  We need to work for a percentage increase in those funds.</w:t>
            </w:r>
          </w:p>
          <w:p w:rsidR="00930168" w:rsidRDefault="00930168" w:rsidP="00595C61">
            <w:pPr>
              <w:rPr>
                <w:b/>
                <w:color w:val="0000FF"/>
                <w:sz w:val="20"/>
                <w:szCs w:val="20"/>
              </w:rPr>
            </w:pPr>
          </w:p>
        </w:tc>
      </w:tr>
      <w:tr w:rsidR="00081C2E" w:rsidTr="00930168">
        <w:tc>
          <w:tcPr>
            <w:tcW w:w="2088" w:type="dxa"/>
          </w:tcPr>
          <w:p w:rsidR="00081C2E" w:rsidRDefault="00081C2E" w:rsidP="00595C61">
            <w:pPr>
              <w:rPr>
                <w:b/>
                <w:color w:val="0000FF"/>
                <w:sz w:val="20"/>
                <w:szCs w:val="20"/>
              </w:rPr>
            </w:pPr>
            <w:r>
              <w:rPr>
                <w:b/>
                <w:color w:val="0000FF"/>
                <w:sz w:val="20"/>
                <w:szCs w:val="20"/>
              </w:rPr>
              <w:t>Distance Education</w:t>
            </w:r>
          </w:p>
        </w:tc>
        <w:tc>
          <w:tcPr>
            <w:tcW w:w="6768" w:type="dxa"/>
          </w:tcPr>
          <w:p w:rsidR="00081C2E" w:rsidRDefault="00081C2E" w:rsidP="003E0850">
            <w:pPr>
              <w:tabs>
                <w:tab w:val="right" w:pos="480"/>
                <w:tab w:val="left" w:pos="1080"/>
                <w:tab w:val="left" w:leader="dot" w:pos="7380"/>
                <w:tab w:val="left" w:pos="7560"/>
              </w:tabs>
              <w:rPr>
                <w:bCs/>
                <w:i/>
                <w:sz w:val="20"/>
                <w:szCs w:val="20"/>
              </w:rPr>
            </w:pPr>
            <w:r>
              <w:rPr>
                <w:bCs/>
                <w:sz w:val="20"/>
                <w:szCs w:val="20"/>
              </w:rPr>
              <w:t xml:space="preserve">Darcy Tannehill is coming in August 12 as a consultant for Distance Education.  </w:t>
            </w:r>
            <w:r w:rsidRPr="00081C2E">
              <w:rPr>
                <w:bCs/>
                <w:i/>
                <w:sz w:val="20"/>
                <w:szCs w:val="20"/>
              </w:rPr>
              <w:t xml:space="preserve">(Since the date of this </w:t>
            </w:r>
            <w:r>
              <w:rPr>
                <w:bCs/>
                <w:i/>
                <w:sz w:val="20"/>
                <w:szCs w:val="20"/>
              </w:rPr>
              <w:t>meeting, this consultant visit ha</w:t>
            </w:r>
            <w:r w:rsidRPr="00081C2E">
              <w:rPr>
                <w:bCs/>
                <w:i/>
                <w:sz w:val="20"/>
                <w:szCs w:val="20"/>
              </w:rPr>
              <w:t>s</w:t>
            </w:r>
            <w:r>
              <w:rPr>
                <w:bCs/>
                <w:i/>
                <w:sz w:val="20"/>
                <w:szCs w:val="20"/>
              </w:rPr>
              <w:t xml:space="preserve"> been</w:t>
            </w:r>
            <w:r w:rsidRPr="00081C2E">
              <w:rPr>
                <w:bCs/>
                <w:i/>
                <w:sz w:val="20"/>
                <w:szCs w:val="20"/>
              </w:rPr>
              <w:t xml:space="preserve"> cancelled).</w:t>
            </w:r>
          </w:p>
          <w:p w:rsidR="0053478D" w:rsidRDefault="0053478D" w:rsidP="003E0850">
            <w:pPr>
              <w:tabs>
                <w:tab w:val="right" w:pos="480"/>
                <w:tab w:val="left" w:pos="1080"/>
                <w:tab w:val="left" w:leader="dot" w:pos="7380"/>
                <w:tab w:val="left" w:pos="7560"/>
              </w:tabs>
              <w:rPr>
                <w:bCs/>
                <w:sz w:val="20"/>
                <w:szCs w:val="20"/>
              </w:rPr>
            </w:pPr>
          </w:p>
        </w:tc>
      </w:tr>
    </w:tbl>
    <w:p w:rsidR="00930168" w:rsidRDefault="00930168" w:rsidP="00595C61">
      <w:pPr>
        <w:rPr>
          <w:b/>
          <w:color w:val="0000FF"/>
          <w:sz w:val="20"/>
          <w:szCs w:val="20"/>
        </w:rPr>
      </w:pPr>
    </w:p>
    <w:p w:rsidR="006B218F" w:rsidRPr="007B27FE" w:rsidRDefault="006B218F" w:rsidP="00595C61">
      <w:pPr>
        <w:rPr>
          <w:sz w:val="20"/>
          <w:szCs w:val="20"/>
        </w:rPr>
      </w:pPr>
      <w:proofErr w:type="gramStart"/>
      <w:r>
        <w:rPr>
          <w:sz w:val="20"/>
          <w:szCs w:val="20"/>
        </w:rPr>
        <w:t>c</w:t>
      </w:r>
      <w:proofErr w:type="gramEnd"/>
      <w:r>
        <w:rPr>
          <w:sz w:val="20"/>
          <w:szCs w:val="20"/>
        </w:rPr>
        <w:t xml:space="preserve">:  </w:t>
      </w:r>
      <w:smartTag w:uri="urn:schemas-microsoft-com:office:smarttags" w:element="PersonName">
        <w:r>
          <w:rPr>
            <w:sz w:val="20"/>
            <w:szCs w:val="20"/>
          </w:rPr>
          <w:t>Terry Welch</w:t>
        </w:r>
      </w:smartTag>
    </w:p>
    <w:p w:rsidR="006B218F" w:rsidRDefault="006B218F"/>
    <w:sectPr w:rsidR="006B218F" w:rsidSect="009253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8A"/>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F1A0D"/>
    <w:multiLevelType w:val="hybridMultilevel"/>
    <w:tmpl w:val="44340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A5778"/>
    <w:multiLevelType w:val="hybridMultilevel"/>
    <w:tmpl w:val="147AE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6">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37F3A6D"/>
    <w:multiLevelType w:val="hybridMultilevel"/>
    <w:tmpl w:val="E49A7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3">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5">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B031D47"/>
    <w:multiLevelType w:val="hybridMultilevel"/>
    <w:tmpl w:val="B17EA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F55DAC"/>
    <w:multiLevelType w:val="hybridMultilevel"/>
    <w:tmpl w:val="BEE2870E"/>
    <w:lvl w:ilvl="0" w:tplc="04090011">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8"/>
  </w:num>
  <w:num w:numId="2">
    <w:abstractNumId w:val="16"/>
  </w:num>
  <w:num w:numId="3">
    <w:abstractNumId w:val="5"/>
  </w:num>
  <w:num w:numId="4">
    <w:abstractNumId w:val="12"/>
  </w:num>
  <w:num w:numId="5">
    <w:abstractNumId w:val="15"/>
  </w:num>
  <w:num w:numId="6">
    <w:abstractNumId w:val="7"/>
  </w:num>
  <w:num w:numId="7">
    <w:abstractNumId w:val="14"/>
  </w:num>
  <w:num w:numId="8">
    <w:abstractNumId w:val="18"/>
  </w:num>
  <w:num w:numId="9">
    <w:abstractNumId w:val="2"/>
  </w:num>
  <w:num w:numId="10">
    <w:abstractNumId w:val="9"/>
  </w:num>
  <w:num w:numId="11">
    <w:abstractNumId w:val="1"/>
  </w:num>
  <w:num w:numId="12">
    <w:abstractNumId w:val="6"/>
  </w:num>
  <w:num w:numId="13">
    <w:abstractNumId w:val="10"/>
  </w:num>
  <w:num w:numId="14">
    <w:abstractNumId w:val="4"/>
  </w:num>
  <w:num w:numId="15">
    <w:abstractNumId w:val="3"/>
  </w:num>
  <w:num w:numId="16">
    <w:abstractNumId w:val="19"/>
  </w:num>
  <w:num w:numId="17">
    <w:abstractNumId w:val="17"/>
  </w:num>
  <w:num w:numId="18">
    <w:abstractNumId w:val="11"/>
  </w:num>
  <w:num w:numId="19">
    <w:abstractNumId w:val="1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95C61"/>
    <w:rsid w:val="00000C2E"/>
    <w:rsid w:val="00001DC8"/>
    <w:rsid w:val="0001117A"/>
    <w:rsid w:val="0001314C"/>
    <w:rsid w:val="0002124A"/>
    <w:rsid w:val="00040C24"/>
    <w:rsid w:val="00041A7C"/>
    <w:rsid w:val="00041F98"/>
    <w:rsid w:val="0004373A"/>
    <w:rsid w:val="00054680"/>
    <w:rsid w:val="0006285B"/>
    <w:rsid w:val="00081C2E"/>
    <w:rsid w:val="00095F4E"/>
    <w:rsid w:val="000A13A7"/>
    <w:rsid w:val="000A5E82"/>
    <w:rsid w:val="000C1B57"/>
    <w:rsid w:val="000C4312"/>
    <w:rsid w:val="000E49F3"/>
    <w:rsid w:val="00112DAE"/>
    <w:rsid w:val="001227B3"/>
    <w:rsid w:val="00134B11"/>
    <w:rsid w:val="001360BE"/>
    <w:rsid w:val="00136C4F"/>
    <w:rsid w:val="00150658"/>
    <w:rsid w:val="00151B97"/>
    <w:rsid w:val="00166E00"/>
    <w:rsid w:val="001757DA"/>
    <w:rsid w:val="00184F04"/>
    <w:rsid w:val="00185162"/>
    <w:rsid w:val="001A1469"/>
    <w:rsid w:val="001B14C8"/>
    <w:rsid w:val="001B33BE"/>
    <w:rsid w:val="001E1C31"/>
    <w:rsid w:val="001F4163"/>
    <w:rsid w:val="001F4A67"/>
    <w:rsid w:val="00200621"/>
    <w:rsid w:val="00205D36"/>
    <w:rsid w:val="0021024A"/>
    <w:rsid w:val="00211390"/>
    <w:rsid w:val="00211875"/>
    <w:rsid w:val="00211FC8"/>
    <w:rsid w:val="00214725"/>
    <w:rsid w:val="00217E3B"/>
    <w:rsid w:val="00221800"/>
    <w:rsid w:val="00224315"/>
    <w:rsid w:val="0023291F"/>
    <w:rsid w:val="00237972"/>
    <w:rsid w:val="00241B20"/>
    <w:rsid w:val="00242AA4"/>
    <w:rsid w:val="002505F1"/>
    <w:rsid w:val="00250EBF"/>
    <w:rsid w:val="002B118D"/>
    <w:rsid w:val="002B6FB0"/>
    <w:rsid w:val="002C3CBB"/>
    <w:rsid w:val="002D50A0"/>
    <w:rsid w:val="002D5AA9"/>
    <w:rsid w:val="002E1638"/>
    <w:rsid w:val="002E5B2A"/>
    <w:rsid w:val="002E75C3"/>
    <w:rsid w:val="002E7DC1"/>
    <w:rsid w:val="002F0FB1"/>
    <w:rsid w:val="002F7EE2"/>
    <w:rsid w:val="003038A3"/>
    <w:rsid w:val="00303EEA"/>
    <w:rsid w:val="003103C3"/>
    <w:rsid w:val="0031127C"/>
    <w:rsid w:val="00323C2E"/>
    <w:rsid w:val="003301E8"/>
    <w:rsid w:val="00330BEF"/>
    <w:rsid w:val="00331652"/>
    <w:rsid w:val="00331BEF"/>
    <w:rsid w:val="00345B1F"/>
    <w:rsid w:val="00346F8F"/>
    <w:rsid w:val="0036582B"/>
    <w:rsid w:val="00367E8A"/>
    <w:rsid w:val="00370944"/>
    <w:rsid w:val="0039470E"/>
    <w:rsid w:val="003A0528"/>
    <w:rsid w:val="003B139F"/>
    <w:rsid w:val="003C2B2E"/>
    <w:rsid w:val="003C462F"/>
    <w:rsid w:val="003E0850"/>
    <w:rsid w:val="003E21D7"/>
    <w:rsid w:val="00403F91"/>
    <w:rsid w:val="0040420A"/>
    <w:rsid w:val="004152CA"/>
    <w:rsid w:val="004158C7"/>
    <w:rsid w:val="00417D78"/>
    <w:rsid w:val="004229E1"/>
    <w:rsid w:val="00423505"/>
    <w:rsid w:val="00436EC3"/>
    <w:rsid w:val="00443C1D"/>
    <w:rsid w:val="00444452"/>
    <w:rsid w:val="00453D02"/>
    <w:rsid w:val="004627E9"/>
    <w:rsid w:val="0046524B"/>
    <w:rsid w:val="00470627"/>
    <w:rsid w:val="004769AB"/>
    <w:rsid w:val="0048217E"/>
    <w:rsid w:val="00485962"/>
    <w:rsid w:val="004925E9"/>
    <w:rsid w:val="004A714A"/>
    <w:rsid w:val="004A7E3E"/>
    <w:rsid w:val="004C48F8"/>
    <w:rsid w:val="004C509D"/>
    <w:rsid w:val="004F35F5"/>
    <w:rsid w:val="00505EFD"/>
    <w:rsid w:val="005202DC"/>
    <w:rsid w:val="00527A74"/>
    <w:rsid w:val="00527CC3"/>
    <w:rsid w:val="0053478D"/>
    <w:rsid w:val="00550188"/>
    <w:rsid w:val="005619E8"/>
    <w:rsid w:val="00570DF2"/>
    <w:rsid w:val="0057168F"/>
    <w:rsid w:val="005759AC"/>
    <w:rsid w:val="00576C69"/>
    <w:rsid w:val="00586C84"/>
    <w:rsid w:val="00595C61"/>
    <w:rsid w:val="005A1966"/>
    <w:rsid w:val="005A5FE0"/>
    <w:rsid w:val="005B199E"/>
    <w:rsid w:val="005B1DF9"/>
    <w:rsid w:val="005B3657"/>
    <w:rsid w:val="005B690C"/>
    <w:rsid w:val="005C61E9"/>
    <w:rsid w:val="005E407F"/>
    <w:rsid w:val="005E4C81"/>
    <w:rsid w:val="005E75E1"/>
    <w:rsid w:val="005F52FC"/>
    <w:rsid w:val="00612295"/>
    <w:rsid w:val="00620C67"/>
    <w:rsid w:val="0062591F"/>
    <w:rsid w:val="006374BE"/>
    <w:rsid w:val="00637D8B"/>
    <w:rsid w:val="00651B70"/>
    <w:rsid w:val="00661A84"/>
    <w:rsid w:val="00666774"/>
    <w:rsid w:val="00674077"/>
    <w:rsid w:val="006853EB"/>
    <w:rsid w:val="00687F3F"/>
    <w:rsid w:val="006A2B65"/>
    <w:rsid w:val="006B08FA"/>
    <w:rsid w:val="006B218F"/>
    <w:rsid w:val="006B4107"/>
    <w:rsid w:val="006B4977"/>
    <w:rsid w:val="006C0440"/>
    <w:rsid w:val="006C174F"/>
    <w:rsid w:val="006C4425"/>
    <w:rsid w:val="006C4BC6"/>
    <w:rsid w:val="006F5F97"/>
    <w:rsid w:val="007166E1"/>
    <w:rsid w:val="00735CD1"/>
    <w:rsid w:val="0075201B"/>
    <w:rsid w:val="00754EC9"/>
    <w:rsid w:val="007573E6"/>
    <w:rsid w:val="00790F26"/>
    <w:rsid w:val="00791AD4"/>
    <w:rsid w:val="007B27FE"/>
    <w:rsid w:val="007C0148"/>
    <w:rsid w:val="007C2D59"/>
    <w:rsid w:val="007C6C3B"/>
    <w:rsid w:val="007D1835"/>
    <w:rsid w:val="007F0177"/>
    <w:rsid w:val="007F0E33"/>
    <w:rsid w:val="007F2384"/>
    <w:rsid w:val="008249BC"/>
    <w:rsid w:val="00833A49"/>
    <w:rsid w:val="00833A61"/>
    <w:rsid w:val="00833F77"/>
    <w:rsid w:val="00835727"/>
    <w:rsid w:val="00855F77"/>
    <w:rsid w:val="00864CCC"/>
    <w:rsid w:val="00864F0E"/>
    <w:rsid w:val="0086501C"/>
    <w:rsid w:val="00866D62"/>
    <w:rsid w:val="008809DD"/>
    <w:rsid w:val="0089161A"/>
    <w:rsid w:val="00892709"/>
    <w:rsid w:val="008936BE"/>
    <w:rsid w:val="00894982"/>
    <w:rsid w:val="008954BD"/>
    <w:rsid w:val="008C4319"/>
    <w:rsid w:val="008C7649"/>
    <w:rsid w:val="008D742A"/>
    <w:rsid w:val="008E1A1C"/>
    <w:rsid w:val="008F267C"/>
    <w:rsid w:val="008F291B"/>
    <w:rsid w:val="008F6D25"/>
    <w:rsid w:val="008F707F"/>
    <w:rsid w:val="0091427C"/>
    <w:rsid w:val="009161BE"/>
    <w:rsid w:val="009253D3"/>
    <w:rsid w:val="00930168"/>
    <w:rsid w:val="00930807"/>
    <w:rsid w:val="009318CC"/>
    <w:rsid w:val="00937489"/>
    <w:rsid w:val="00950B0B"/>
    <w:rsid w:val="00951CB4"/>
    <w:rsid w:val="00965698"/>
    <w:rsid w:val="00971CD2"/>
    <w:rsid w:val="00982BCD"/>
    <w:rsid w:val="00994DC7"/>
    <w:rsid w:val="009A0450"/>
    <w:rsid w:val="009A2A7E"/>
    <w:rsid w:val="009A4F1E"/>
    <w:rsid w:val="009B07D5"/>
    <w:rsid w:val="009B4FDA"/>
    <w:rsid w:val="009B6A2F"/>
    <w:rsid w:val="009C1BA7"/>
    <w:rsid w:val="009F3543"/>
    <w:rsid w:val="00A234CE"/>
    <w:rsid w:val="00A27F0D"/>
    <w:rsid w:val="00A329B6"/>
    <w:rsid w:val="00A4767F"/>
    <w:rsid w:val="00A645F3"/>
    <w:rsid w:val="00A65FC4"/>
    <w:rsid w:val="00A905D8"/>
    <w:rsid w:val="00AA29C7"/>
    <w:rsid w:val="00AB4554"/>
    <w:rsid w:val="00AC0F57"/>
    <w:rsid w:val="00AC13DB"/>
    <w:rsid w:val="00AE4602"/>
    <w:rsid w:val="00AF1F13"/>
    <w:rsid w:val="00B029D2"/>
    <w:rsid w:val="00B030A9"/>
    <w:rsid w:val="00B0459D"/>
    <w:rsid w:val="00B10EFD"/>
    <w:rsid w:val="00B227E3"/>
    <w:rsid w:val="00B25791"/>
    <w:rsid w:val="00B409D6"/>
    <w:rsid w:val="00B6355B"/>
    <w:rsid w:val="00B66FDE"/>
    <w:rsid w:val="00B67147"/>
    <w:rsid w:val="00B67D42"/>
    <w:rsid w:val="00B82165"/>
    <w:rsid w:val="00B862E7"/>
    <w:rsid w:val="00B96EE9"/>
    <w:rsid w:val="00BA6CE3"/>
    <w:rsid w:val="00BB35FE"/>
    <w:rsid w:val="00BB4F34"/>
    <w:rsid w:val="00BD6142"/>
    <w:rsid w:val="00BD71F7"/>
    <w:rsid w:val="00BE40F3"/>
    <w:rsid w:val="00C06BA7"/>
    <w:rsid w:val="00C10E3D"/>
    <w:rsid w:val="00C2066A"/>
    <w:rsid w:val="00C44D38"/>
    <w:rsid w:val="00C746A4"/>
    <w:rsid w:val="00C818D4"/>
    <w:rsid w:val="00C8237E"/>
    <w:rsid w:val="00C84296"/>
    <w:rsid w:val="00CB1788"/>
    <w:rsid w:val="00CB1C87"/>
    <w:rsid w:val="00CC485B"/>
    <w:rsid w:val="00CD0879"/>
    <w:rsid w:val="00CD3EC1"/>
    <w:rsid w:val="00CE4E6A"/>
    <w:rsid w:val="00CF2708"/>
    <w:rsid w:val="00D023CD"/>
    <w:rsid w:val="00D03A4E"/>
    <w:rsid w:val="00D04163"/>
    <w:rsid w:val="00D075DB"/>
    <w:rsid w:val="00D44783"/>
    <w:rsid w:val="00D47558"/>
    <w:rsid w:val="00D71734"/>
    <w:rsid w:val="00D83220"/>
    <w:rsid w:val="00D91E61"/>
    <w:rsid w:val="00DA02B2"/>
    <w:rsid w:val="00DA1611"/>
    <w:rsid w:val="00DC20A9"/>
    <w:rsid w:val="00DD14B8"/>
    <w:rsid w:val="00DD244E"/>
    <w:rsid w:val="00DE72C7"/>
    <w:rsid w:val="00DE76B1"/>
    <w:rsid w:val="00DF3D2B"/>
    <w:rsid w:val="00DF4174"/>
    <w:rsid w:val="00E049A0"/>
    <w:rsid w:val="00E04DB6"/>
    <w:rsid w:val="00E07723"/>
    <w:rsid w:val="00E160F9"/>
    <w:rsid w:val="00E26EA8"/>
    <w:rsid w:val="00E35CAC"/>
    <w:rsid w:val="00E4034C"/>
    <w:rsid w:val="00E42665"/>
    <w:rsid w:val="00E51D40"/>
    <w:rsid w:val="00E56BCE"/>
    <w:rsid w:val="00E57C90"/>
    <w:rsid w:val="00E64D10"/>
    <w:rsid w:val="00E700E2"/>
    <w:rsid w:val="00E86993"/>
    <w:rsid w:val="00EA257D"/>
    <w:rsid w:val="00EA5CCF"/>
    <w:rsid w:val="00EA7F7C"/>
    <w:rsid w:val="00EB7CEF"/>
    <w:rsid w:val="00EB7DB3"/>
    <w:rsid w:val="00EC584F"/>
    <w:rsid w:val="00ED7929"/>
    <w:rsid w:val="00ED7D8D"/>
    <w:rsid w:val="00EE2507"/>
    <w:rsid w:val="00EF178F"/>
    <w:rsid w:val="00F069FD"/>
    <w:rsid w:val="00F277EE"/>
    <w:rsid w:val="00F326FD"/>
    <w:rsid w:val="00F36AA4"/>
    <w:rsid w:val="00F40F33"/>
    <w:rsid w:val="00F42ADF"/>
    <w:rsid w:val="00F51A65"/>
    <w:rsid w:val="00F63015"/>
    <w:rsid w:val="00F66F63"/>
    <w:rsid w:val="00F77DAA"/>
    <w:rsid w:val="00F82439"/>
    <w:rsid w:val="00F872BE"/>
    <w:rsid w:val="00F87D0F"/>
    <w:rsid w:val="00F93488"/>
    <w:rsid w:val="00F94907"/>
    <w:rsid w:val="00FD40FA"/>
    <w:rsid w:val="00FD4D3F"/>
    <w:rsid w:val="00FD61CF"/>
    <w:rsid w:val="00FD6701"/>
    <w:rsid w:val="00FE7F1E"/>
    <w:rsid w:val="00FF4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rsid w:val="003559C1"/>
    <w:rPr>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rsid w:val="003559C1"/>
    <w:rPr>
      <w:sz w:val="0"/>
      <w:szCs w:val="0"/>
    </w:rPr>
  </w:style>
  <w:style w:type="paragraph" w:styleId="ListParagraph">
    <w:name w:val="List Paragraph"/>
    <w:basedOn w:val="Normal"/>
    <w:uiPriority w:val="34"/>
    <w:qFormat/>
    <w:rsid w:val="008C7649"/>
    <w:pPr>
      <w:ind w:left="720"/>
      <w:contextualSpacing/>
    </w:pPr>
  </w:style>
</w:styles>
</file>

<file path=word/webSettings.xml><?xml version="1.0" encoding="utf-8"?>
<w:webSettings xmlns:r="http://schemas.openxmlformats.org/officeDocument/2006/relationships" xmlns:w="http://schemas.openxmlformats.org/wordprocessingml/2006/main">
  <w:divs>
    <w:div w:id="7530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7A728-C5E1-481E-A5DC-20F48E96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1431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cp:lastModifiedBy>
  <cp:revision>2</cp:revision>
  <dcterms:created xsi:type="dcterms:W3CDTF">2010-08-23T13:08:00Z</dcterms:created>
  <dcterms:modified xsi:type="dcterms:W3CDTF">2010-08-23T13:08:00Z</dcterms:modified>
</cp:coreProperties>
</file>